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chart11.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2.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3.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4.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5.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6.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xml" ContentType="application/vnd.openxmlformats-officedocument.themeOverride+xml"/>
  <Override PartName="/word/charts/chart17.xml" ContentType="application/vnd.openxmlformats-officedocument.drawingml.chart+xml"/>
  <Override PartName="/word/charts/chart18.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9.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20.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21.xml" ContentType="application/vnd.openxmlformats-officedocument.drawingml.chart+xml"/>
  <Override PartName="/word/charts/style18.xml" ContentType="application/vnd.ms-office.chartstyle+xml"/>
  <Override PartName="/word/charts/colors18.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853" w:rsidRDefault="00DD1853" w:rsidP="00EB7BA0">
      <w:pPr>
        <w:spacing w:after="0" w:line="240" w:lineRule="auto"/>
        <w:rPr>
          <w:rFonts w:asciiTheme="majorHAnsi" w:hAnsiTheme="majorHAnsi"/>
          <w:b/>
          <w:sz w:val="36"/>
          <w:szCs w:val="36"/>
        </w:rPr>
      </w:pPr>
    </w:p>
    <w:p w:rsidR="00DD1853" w:rsidRPr="000547D0" w:rsidRDefault="00DD1853" w:rsidP="00DD1853">
      <w:pPr>
        <w:pStyle w:val="NoSpacing"/>
      </w:pPr>
    </w:p>
    <w:p w:rsidR="00DD1853" w:rsidRPr="000547D0" w:rsidRDefault="00DD1853" w:rsidP="00DD1853">
      <w:pPr>
        <w:jc w:val="center"/>
      </w:pPr>
      <w:r w:rsidRPr="000547D0">
        <w:rPr>
          <w:b/>
          <w:noProof/>
          <w:lang w:eastAsia="en-ZW"/>
        </w:rPr>
        <w:drawing>
          <wp:inline distT="0" distB="0" distL="0" distR="0" wp14:anchorId="15CC3B7C" wp14:editId="5712B247">
            <wp:extent cx="1343924" cy="802257"/>
            <wp:effectExtent l="19050" t="0" r="8626" b="0"/>
            <wp:docPr id="7" name="Picture 2"/>
            <wp:cNvGraphicFramePr/>
            <a:graphic xmlns:a="http://schemas.openxmlformats.org/drawingml/2006/main">
              <a:graphicData uri="http://schemas.openxmlformats.org/drawingml/2006/picture">
                <pic:pic xmlns:pic="http://schemas.openxmlformats.org/drawingml/2006/picture">
                  <pic:nvPicPr>
                    <pic:cNvPr id="4" name="Picture 6"/>
                    <pic:cNvPicPr>
                      <a:picLocks noChangeAspect="1" noChangeArrowheads="1"/>
                    </pic:cNvPicPr>
                  </pic:nvPicPr>
                  <pic:blipFill>
                    <a:blip r:embed="rId8" cstate="print"/>
                    <a:srcRect/>
                    <a:stretch>
                      <a:fillRect/>
                    </a:stretch>
                  </pic:blipFill>
                  <pic:spPr bwMode="auto">
                    <a:xfrm>
                      <a:off x="0" y="0"/>
                      <a:ext cx="1350363" cy="806101"/>
                    </a:xfrm>
                    <a:prstGeom prst="rect">
                      <a:avLst/>
                    </a:prstGeom>
                    <a:noFill/>
                    <a:ln w="9525">
                      <a:noFill/>
                      <a:miter lim="800000"/>
                      <a:headEnd/>
                      <a:tailEnd/>
                    </a:ln>
                  </pic:spPr>
                </pic:pic>
              </a:graphicData>
            </a:graphic>
          </wp:inline>
        </w:drawing>
      </w:r>
    </w:p>
    <w:p w:rsidR="00DD1853" w:rsidRPr="000547D0" w:rsidRDefault="00DD1853" w:rsidP="00DD1853">
      <w:pPr>
        <w:jc w:val="center"/>
        <w:rPr>
          <w:b/>
        </w:rPr>
      </w:pPr>
      <w:r w:rsidRPr="000547D0">
        <w:rPr>
          <w:b/>
        </w:rPr>
        <w:t>ZIMBABWE</w:t>
      </w:r>
    </w:p>
    <w:p w:rsidR="00DD1853" w:rsidRPr="000547D0" w:rsidRDefault="00DD1853" w:rsidP="00DD1853">
      <w:pPr>
        <w:jc w:val="center"/>
        <w:rPr>
          <w:b/>
        </w:rPr>
      </w:pPr>
      <w:r w:rsidRPr="007F2041">
        <w:rPr>
          <w:rFonts w:asciiTheme="majorHAnsi" w:hAnsiTheme="majorHAnsi"/>
          <w:b/>
          <w:noProof/>
          <w:lang w:eastAsia="en-ZW"/>
        </w:rPr>
        <w:drawing>
          <wp:anchor distT="0" distB="0" distL="114300" distR="114300" simplePos="0" relativeHeight="251692032" behindDoc="0" locked="0" layoutInCell="1" allowOverlap="1" wp14:anchorId="034E2A69" wp14:editId="68BD9EBC">
            <wp:simplePos x="0" y="0"/>
            <wp:positionH relativeFrom="column">
              <wp:posOffset>1343025</wp:posOffset>
            </wp:positionH>
            <wp:positionV relativeFrom="paragraph">
              <wp:posOffset>22860</wp:posOffset>
            </wp:positionV>
            <wp:extent cx="3333750" cy="2105025"/>
            <wp:effectExtent l="19050" t="0" r="0" b="0"/>
            <wp:wrapNone/>
            <wp:docPr id="14" name="Picture 14" descr="CENS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NSUS logo"/>
                    <pic:cNvPicPr>
                      <a:picLocks noChangeAspect="1" noChangeArrowheads="1"/>
                    </pic:cNvPicPr>
                  </pic:nvPicPr>
                  <pic:blipFill>
                    <a:blip r:embed="rId9"/>
                    <a:srcRect/>
                    <a:stretch>
                      <a:fillRect/>
                    </a:stretch>
                  </pic:blipFill>
                  <pic:spPr bwMode="auto">
                    <a:xfrm>
                      <a:off x="0" y="0"/>
                      <a:ext cx="3333750" cy="2105025"/>
                    </a:xfrm>
                    <a:prstGeom prst="rect">
                      <a:avLst/>
                    </a:prstGeom>
                    <a:noFill/>
                    <a:ln w="9525">
                      <a:noFill/>
                      <a:miter lim="800000"/>
                      <a:headEnd/>
                      <a:tailEnd/>
                    </a:ln>
                  </pic:spPr>
                </pic:pic>
              </a:graphicData>
            </a:graphic>
          </wp:anchor>
        </w:drawing>
      </w:r>
    </w:p>
    <w:p w:rsidR="00DD1853" w:rsidRPr="000547D0" w:rsidRDefault="00DD1853" w:rsidP="00DD1853">
      <w:pPr>
        <w:pStyle w:val="NoSpacing"/>
      </w:pPr>
    </w:p>
    <w:p w:rsidR="00DD1853" w:rsidRPr="000547D0" w:rsidRDefault="00DD1853" w:rsidP="00DD1853">
      <w:pPr>
        <w:pStyle w:val="NoSpacing"/>
      </w:pPr>
    </w:p>
    <w:p w:rsidR="00DD1853" w:rsidRPr="000547D0" w:rsidRDefault="00DD1853" w:rsidP="00DD1853">
      <w:pPr>
        <w:pStyle w:val="NoSpacing"/>
      </w:pPr>
    </w:p>
    <w:p w:rsidR="00DD1853" w:rsidRPr="000547D0" w:rsidRDefault="00DD1853" w:rsidP="00DD1853">
      <w:pPr>
        <w:pStyle w:val="NoSpacing"/>
      </w:pPr>
    </w:p>
    <w:p w:rsidR="00DD1853" w:rsidRPr="000547D0" w:rsidRDefault="00DD1853" w:rsidP="00DD1853">
      <w:pPr>
        <w:pStyle w:val="NoSpacing"/>
      </w:pPr>
    </w:p>
    <w:p w:rsidR="00DD1853" w:rsidRPr="000547D0" w:rsidRDefault="00DD1853" w:rsidP="00DD1853">
      <w:pPr>
        <w:pStyle w:val="NoSpacing"/>
      </w:pPr>
    </w:p>
    <w:p w:rsidR="00DD1853" w:rsidRPr="000547D0" w:rsidRDefault="00DD1853" w:rsidP="00DD1853">
      <w:pPr>
        <w:pStyle w:val="NoSpacing"/>
      </w:pPr>
    </w:p>
    <w:p w:rsidR="00DD1853" w:rsidRPr="000547D0" w:rsidRDefault="00DD1853" w:rsidP="00DD1853">
      <w:pPr>
        <w:pStyle w:val="NoSpacing"/>
      </w:pPr>
    </w:p>
    <w:p w:rsidR="00DD1853" w:rsidRPr="000547D0" w:rsidRDefault="00DD1853" w:rsidP="00DD1853">
      <w:pPr>
        <w:jc w:val="center"/>
        <w:rPr>
          <w:b/>
        </w:rPr>
      </w:pPr>
    </w:p>
    <w:p w:rsidR="00DD1853" w:rsidRPr="000547D0" w:rsidRDefault="00DD1853" w:rsidP="00DD1853">
      <w:pPr>
        <w:jc w:val="center"/>
        <w:rPr>
          <w:b/>
        </w:rPr>
      </w:pPr>
    </w:p>
    <w:p w:rsidR="00DD1853" w:rsidRPr="000547D0" w:rsidRDefault="00DD1853" w:rsidP="00DD1853">
      <w:pPr>
        <w:jc w:val="center"/>
        <w:rPr>
          <w:b/>
        </w:rPr>
      </w:pPr>
    </w:p>
    <w:p w:rsidR="00DD1853" w:rsidRPr="007F2041" w:rsidRDefault="00DD1853" w:rsidP="00DD1853">
      <w:pPr>
        <w:jc w:val="center"/>
        <w:rPr>
          <w:rFonts w:asciiTheme="majorHAnsi" w:hAnsiTheme="majorHAnsi"/>
          <w:b/>
          <w:bCs/>
          <w:sz w:val="36"/>
          <w:szCs w:val="36"/>
        </w:rPr>
      </w:pPr>
      <w:r w:rsidRPr="007F2041">
        <w:rPr>
          <w:rFonts w:asciiTheme="majorHAnsi" w:hAnsiTheme="majorHAnsi"/>
          <w:b/>
          <w:bCs/>
          <w:sz w:val="36"/>
          <w:szCs w:val="36"/>
        </w:rPr>
        <w:t>ZIMBABWE DEMOGRAPHIC FACT SHEET</w:t>
      </w:r>
    </w:p>
    <w:p w:rsidR="00DD1853" w:rsidRPr="000547D0" w:rsidRDefault="00DD1853" w:rsidP="00DD1853">
      <w:pPr>
        <w:jc w:val="center"/>
        <w:rPr>
          <w:b/>
          <w:bCs/>
          <w:sz w:val="28"/>
          <w:szCs w:val="28"/>
        </w:rPr>
      </w:pPr>
    </w:p>
    <w:p w:rsidR="00DD1853" w:rsidRPr="000547D0" w:rsidRDefault="008C5CBA" w:rsidP="00DD1853">
      <w:pPr>
        <w:spacing w:line="480" w:lineRule="auto"/>
        <w:jc w:val="right"/>
        <w:rPr>
          <w:b/>
        </w:rPr>
      </w:pPr>
      <w:r w:rsidRPr="000547D0">
        <w:rPr>
          <w:b/>
          <w:noProof/>
          <w:lang w:eastAsia="en-ZW"/>
        </w:rPr>
        <w:drawing>
          <wp:anchor distT="0" distB="0" distL="114300" distR="114300" simplePos="0" relativeHeight="251693056" behindDoc="0" locked="0" layoutInCell="1" allowOverlap="1" wp14:anchorId="3B92FB76" wp14:editId="10C5BAB5">
            <wp:simplePos x="0" y="0"/>
            <wp:positionH relativeFrom="column">
              <wp:posOffset>4587875</wp:posOffset>
            </wp:positionH>
            <wp:positionV relativeFrom="paragraph">
              <wp:posOffset>206375</wp:posOffset>
            </wp:positionV>
            <wp:extent cx="1685290" cy="713740"/>
            <wp:effectExtent l="0" t="0" r="0" b="0"/>
            <wp:wrapSquare wrapText="bothSides"/>
            <wp:docPr id="38" name="Picture 1" descr="cid:image001.gif@01C9347A.003704F0">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0" name="Picture 1" descr="cid:image001.gif@01C9347A.003704F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290" cy="7137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D1853" w:rsidRPr="000547D0">
        <w:rPr>
          <w:noProof/>
          <w:lang w:eastAsia="en-ZW"/>
        </w:rPr>
        <w:drawing>
          <wp:anchor distT="0" distB="0" distL="114300" distR="114300" simplePos="0" relativeHeight="251691008" behindDoc="0" locked="0" layoutInCell="1" allowOverlap="1" wp14:anchorId="302A5432" wp14:editId="62ECCF90">
            <wp:simplePos x="0" y="0"/>
            <wp:positionH relativeFrom="column">
              <wp:posOffset>-285750</wp:posOffset>
            </wp:positionH>
            <wp:positionV relativeFrom="paragraph">
              <wp:posOffset>135890</wp:posOffset>
            </wp:positionV>
            <wp:extent cx="1629410" cy="1005205"/>
            <wp:effectExtent l="0" t="0" r="8890" b="4445"/>
            <wp:wrapSquare wrapText="bothSides"/>
            <wp:docPr id="24" name="Picture 24" descr="zimstatlogobmpf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imstatlogobmpfm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9410" cy="1005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1853" w:rsidRPr="000547D0" w:rsidRDefault="00DD1853" w:rsidP="00DD1853">
      <w:pPr>
        <w:jc w:val="center"/>
        <w:rPr>
          <w:b/>
          <w:szCs w:val="24"/>
          <w14:shadow w14:blurRad="50800" w14:dist="38100" w14:dir="2700000" w14:sx="100000" w14:sy="100000" w14:kx="0" w14:ky="0" w14:algn="tl">
            <w14:srgbClr w14:val="000000">
              <w14:alpha w14:val="60000"/>
            </w14:srgbClr>
          </w14:shadow>
        </w:rPr>
      </w:pPr>
    </w:p>
    <w:p w:rsidR="00DD1853" w:rsidRPr="000547D0" w:rsidRDefault="00DD1853" w:rsidP="00DD1853">
      <w:pPr>
        <w:jc w:val="center"/>
        <w:rPr>
          <w:b/>
          <w:szCs w:val="24"/>
          <w14:shadow w14:blurRad="50800" w14:dist="38100" w14:dir="2700000" w14:sx="100000" w14:sy="100000" w14:kx="0" w14:ky="0" w14:algn="tl">
            <w14:srgbClr w14:val="000000">
              <w14:alpha w14:val="60000"/>
            </w14:srgbClr>
          </w14:shadow>
        </w:rPr>
      </w:pPr>
    </w:p>
    <w:p w:rsidR="00DD1853" w:rsidRPr="000547D0" w:rsidRDefault="00DD1853" w:rsidP="00DD1853">
      <w:pPr>
        <w:jc w:val="center"/>
        <w:rPr>
          <w:b/>
          <w:sz w:val="36"/>
          <w:szCs w:val="36"/>
        </w:rPr>
      </w:pPr>
    </w:p>
    <w:p w:rsidR="00DD1853" w:rsidRPr="007F2041" w:rsidRDefault="00DD1853" w:rsidP="00DD1853">
      <w:pPr>
        <w:jc w:val="center"/>
        <w:rPr>
          <w:rFonts w:asciiTheme="majorHAnsi" w:hAnsiTheme="majorHAnsi"/>
          <w:b/>
          <w:sz w:val="36"/>
          <w:szCs w:val="36"/>
        </w:rPr>
      </w:pPr>
      <w:r w:rsidRPr="007F2041">
        <w:rPr>
          <w:rFonts w:asciiTheme="majorHAnsi" w:hAnsiTheme="majorHAnsi"/>
          <w:b/>
          <w:sz w:val="36"/>
          <w:szCs w:val="36"/>
        </w:rPr>
        <w:t>AUGUST 2015</w:t>
      </w:r>
    </w:p>
    <w:p w:rsidR="00DD1853" w:rsidRDefault="00DD1853" w:rsidP="00EB7BA0">
      <w:pPr>
        <w:spacing w:after="0" w:line="240" w:lineRule="auto"/>
        <w:rPr>
          <w:rFonts w:asciiTheme="majorHAnsi" w:hAnsiTheme="majorHAnsi"/>
          <w:b/>
          <w:sz w:val="36"/>
          <w:szCs w:val="36"/>
        </w:rPr>
      </w:pPr>
    </w:p>
    <w:p w:rsidR="00DD1853" w:rsidRDefault="00DD1853" w:rsidP="00EB7BA0">
      <w:pPr>
        <w:spacing w:after="0" w:line="240" w:lineRule="auto"/>
        <w:rPr>
          <w:rFonts w:asciiTheme="majorHAnsi" w:hAnsiTheme="majorHAnsi"/>
          <w:b/>
          <w:sz w:val="36"/>
          <w:szCs w:val="36"/>
        </w:rPr>
      </w:pPr>
    </w:p>
    <w:p w:rsidR="00DD1853" w:rsidRDefault="00DD1853" w:rsidP="00EB7BA0">
      <w:pPr>
        <w:spacing w:after="0" w:line="240" w:lineRule="auto"/>
        <w:rPr>
          <w:rFonts w:asciiTheme="majorHAnsi" w:hAnsiTheme="majorHAnsi"/>
          <w:b/>
          <w:sz w:val="36"/>
          <w:szCs w:val="36"/>
        </w:rPr>
      </w:pPr>
    </w:p>
    <w:p w:rsidR="00DD1853" w:rsidRDefault="00DD1853" w:rsidP="00EB7BA0">
      <w:pPr>
        <w:spacing w:after="0" w:line="240" w:lineRule="auto"/>
        <w:rPr>
          <w:rFonts w:asciiTheme="majorHAnsi" w:hAnsiTheme="majorHAnsi"/>
          <w:b/>
          <w:sz w:val="36"/>
          <w:szCs w:val="36"/>
        </w:rPr>
      </w:pPr>
    </w:p>
    <w:p w:rsidR="00DD1853" w:rsidRDefault="00DD1853" w:rsidP="00EB7BA0">
      <w:pPr>
        <w:spacing w:after="0" w:line="240" w:lineRule="auto"/>
        <w:rPr>
          <w:rFonts w:asciiTheme="majorHAnsi" w:hAnsiTheme="majorHAnsi"/>
          <w:b/>
          <w:sz w:val="36"/>
          <w:szCs w:val="36"/>
        </w:rPr>
      </w:pPr>
    </w:p>
    <w:p w:rsidR="00DD1853" w:rsidRDefault="00DD1853" w:rsidP="00EB7BA0">
      <w:pPr>
        <w:spacing w:after="0" w:line="240" w:lineRule="auto"/>
        <w:rPr>
          <w:rFonts w:asciiTheme="majorHAnsi" w:hAnsiTheme="majorHAnsi"/>
          <w:b/>
          <w:sz w:val="36"/>
          <w:szCs w:val="36"/>
        </w:rPr>
      </w:pPr>
    </w:p>
    <w:p w:rsidR="00DD1853" w:rsidRDefault="00DD1853" w:rsidP="00EB7BA0">
      <w:pPr>
        <w:spacing w:after="0" w:line="240" w:lineRule="auto"/>
        <w:rPr>
          <w:rFonts w:asciiTheme="majorHAnsi" w:hAnsiTheme="majorHAnsi"/>
          <w:b/>
          <w:sz w:val="36"/>
          <w:szCs w:val="36"/>
        </w:rPr>
      </w:pPr>
    </w:p>
    <w:p w:rsidR="00DD1853" w:rsidRDefault="00DD1853" w:rsidP="00EB7BA0">
      <w:pPr>
        <w:spacing w:after="0" w:line="240" w:lineRule="auto"/>
        <w:rPr>
          <w:rFonts w:asciiTheme="majorHAnsi" w:hAnsiTheme="majorHAnsi"/>
          <w:b/>
          <w:sz w:val="36"/>
          <w:szCs w:val="36"/>
        </w:rPr>
      </w:pPr>
    </w:p>
    <w:p w:rsidR="00B74840" w:rsidRDefault="00B74840" w:rsidP="00EB7BA0">
      <w:pPr>
        <w:spacing w:after="0" w:line="240" w:lineRule="auto"/>
        <w:rPr>
          <w:rFonts w:asciiTheme="majorHAnsi" w:hAnsiTheme="majorHAnsi"/>
          <w:b/>
          <w:sz w:val="36"/>
          <w:szCs w:val="36"/>
        </w:rPr>
      </w:pPr>
      <w:r w:rsidRPr="00182524">
        <w:rPr>
          <w:rFonts w:asciiTheme="majorHAnsi" w:hAnsiTheme="majorHAnsi"/>
          <w:b/>
          <w:sz w:val="36"/>
          <w:szCs w:val="36"/>
        </w:rPr>
        <w:t>ZIMBABWE DEMOGRAPHIC FACT SHEET</w:t>
      </w:r>
    </w:p>
    <w:p w:rsidR="008B17AD" w:rsidRPr="008B17AD" w:rsidRDefault="008B17AD" w:rsidP="00EB7BA0">
      <w:pPr>
        <w:spacing w:after="0" w:line="240" w:lineRule="auto"/>
        <w:rPr>
          <w:rFonts w:asciiTheme="majorHAnsi" w:hAnsiTheme="majorHAnsi"/>
          <w:sz w:val="24"/>
          <w:szCs w:val="24"/>
        </w:rPr>
      </w:pPr>
      <w:r w:rsidRPr="008B17AD">
        <w:rPr>
          <w:rFonts w:asciiTheme="majorHAnsi" w:hAnsiTheme="majorHAnsi"/>
          <w:sz w:val="24"/>
          <w:szCs w:val="24"/>
        </w:rPr>
        <w:t xml:space="preserve">Source of data for this Fact Sheet is the 2012 Population Census unless </w:t>
      </w:r>
      <w:r>
        <w:rPr>
          <w:rFonts w:asciiTheme="majorHAnsi" w:hAnsiTheme="majorHAnsi"/>
          <w:sz w:val="24"/>
          <w:szCs w:val="24"/>
        </w:rPr>
        <w:t>stated otherwise</w:t>
      </w:r>
      <w:r w:rsidRPr="008B17AD">
        <w:rPr>
          <w:rFonts w:asciiTheme="majorHAnsi" w:hAnsiTheme="majorHAnsi"/>
          <w:sz w:val="24"/>
          <w:szCs w:val="24"/>
        </w:rPr>
        <w:t>.</w:t>
      </w:r>
    </w:p>
    <w:p w:rsidR="000E7F0E" w:rsidRPr="00273DC5" w:rsidRDefault="000040E5" w:rsidP="001F1E92">
      <w:pPr>
        <w:pStyle w:val="Heading1"/>
        <w:rPr>
          <w:b/>
          <w:color w:val="auto"/>
        </w:rPr>
      </w:pPr>
      <w:bookmarkStart w:id="0" w:name="_Toc432886480"/>
      <w:r w:rsidRPr="00273DC5">
        <w:rPr>
          <w:b/>
          <w:color w:val="auto"/>
        </w:rPr>
        <w:t xml:space="preserve">1.0 </w:t>
      </w:r>
      <w:r w:rsidR="000E7F0E" w:rsidRPr="00273DC5">
        <w:rPr>
          <w:b/>
          <w:color w:val="auto"/>
        </w:rPr>
        <w:t>FERTILITY</w:t>
      </w:r>
      <w:bookmarkEnd w:id="0"/>
    </w:p>
    <w:p w:rsidR="000E7F0E" w:rsidRPr="00273DC5" w:rsidRDefault="000040E5" w:rsidP="001F1E92">
      <w:pPr>
        <w:pStyle w:val="Heading2"/>
        <w:rPr>
          <w:b/>
          <w:color w:val="auto"/>
        </w:rPr>
      </w:pPr>
      <w:bookmarkStart w:id="1" w:name="_Toc432886481"/>
      <w:r w:rsidRPr="00273DC5">
        <w:rPr>
          <w:b/>
          <w:color w:val="auto"/>
        </w:rPr>
        <w:t xml:space="preserve">1.1 </w:t>
      </w:r>
      <w:r w:rsidR="000E7F0E" w:rsidRPr="00273DC5">
        <w:rPr>
          <w:b/>
          <w:color w:val="auto"/>
        </w:rPr>
        <w:t>Fertility Trends</w:t>
      </w:r>
      <w:bookmarkEnd w:id="1"/>
    </w:p>
    <w:p w:rsidR="000E7F0E" w:rsidRPr="00167882" w:rsidRDefault="000E7F0E" w:rsidP="00A23892">
      <w:pPr>
        <w:spacing w:after="0" w:line="240" w:lineRule="auto"/>
        <w:rPr>
          <w:rFonts w:asciiTheme="majorHAnsi" w:eastAsia="Calibri" w:hAnsiTheme="majorHAnsi"/>
          <w:sz w:val="24"/>
          <w:szCs w:val="24"/>
        </w:rPr>
      </w:pPr>
      <w:r w:rsidRPr="00167882">
        <w:rPr>
          <w:rFonts w:asciiTheme="majorHAnsi" w:hAnsiTheme="majorHAnsi"/>
          <w:sz w:val="24"/>
          <w:szCs w:val="24"/>
        </w:rPr>
        <w:t>Total Fertility Rate</w:t>
      </w:r>
      <w:r w:rsidRPr="00167882">
        <w:rPr>
          <w:rFonts w:asciiTheme="majorHAnsi" w:eastAsia="Calibri" w:hAnsiTheme="majorHAnsi"/>
          <w:sz w:val="24"/>
          <w:szCs w:val="24"/>
        </w:rPr>
        <w:t xml:space="preserve"> (TFR) has generally been declining in Zimbabwe– an implied decline of about 1.8 births during the 30-year inter-census period of 1982-2012. The decline was however halted in 2012 where TFR has slightly increased from 3.6 in 2002 to 3.8 in 2012.</w:t>
      </w:r>
    </w:p>
    <w:p w:rsidR="00D449AA" w:rsidRPr="00167882" w:rsidRDefault="00992254" w:rsidP="00A23892">
      <w:pPr>
        <w:spacing w:after="0" w:line="240" w:lineRule="auto"/>
        <w:rPr>
          <w:rFonts w:asciiTheme="majorHAnsi" w:hAnsiTheme="majorHAnsi"/>
          <w:sz w:val="24"/>
          <w:szCs w:val="24"/>
        </w:rPr>
      </w:pPr>
      <w:r w:rsidRPr="00167882">
        <w:rPr>
          <w:rFonts w:asciiTheme="majorHAnsi" w:hAnsiTheme="majorHAnsi"/>
          <w:noProof/>
          <w:sz w:val="24"/>
          <w:szCs w:val="24"/>
          <w:lang w:eastAsia="en-ZW"/>
        </w:rPr>
        <w:drawing>
          <wp:anchor distT="0" distB="0" distL="114300" distR="114300" simplePos="0" relativeHeight="251658240" behindDoc="0" locked="0" layoutInCell="1" allowOverlap="1" wp14:anchorId="0475DB71" wp14:editId="3870308E">
            <wp:simplePos x="0" y="0"/>
            <wp:positionH relativeFrom="column">
              <wp:posOffset>3133725</wp:posOffset>
            </wp:positionH>
            <wp:positionV relativeFrom="paragraph">
              <wp:posOffset>179705</wp:posOffset>
            </wp:positionV>
            <wp:extent cx="2447925" cy="2495550"/>
            <wp:effectExtent l="0" t="0" r="9525" b="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0E7F0E" w:rsidRPr="00167882" w:rsidRDefault="000E7F0E" w:rsidP="00A23892">
      <w:pPr>
        <w:spacing w:after="0" w:line="240" w:lineRule="auto"/>
        <w:rPr>
          <w:rFonts w:asciiTheme="majorHAnsi" w:hAnsiTheme="majorHAnsi"/>
          <w:sz w:val="24"/>
          <w:szCs w:val="24"/>
        </w:rPr>
      </w:pPr>
      <w:r w:rsidRPr="00167882">
        <w:rPr>
          <w:rFonts w:asciiTheme="majorHAnsi" w:hAnsiTheme="majorHAnsi"/>
          <w:noProof/>
          <w:sz w:val="24"/>
          <w:szCs w:val="24"/>
          <w:lang w:eastAsia="en-ZW"/>
        </w:rPr>
        <w:drawing>
          <wp:inline distT="0" distB="0" distL="0" distR="0" wp14:anchorId="0B0CAD5B" wp14:editId="00633010">
            <wp:extent cx="2762250" cy="25717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37EF4" w:rsidRPr="00167882" w:rsidRDefault="00B37EF4" w:rsidP="00A23892">
      <w:pPr>
        <w:spacing w:after="0" w:line="240" w:lineRule="auto"/>
        <w:rPr>
          <w:rFonts w:asciiTheme="majorHAnsi" w:hAnsiTheme="majorHAnsi"/>
          <w:sz w:val="20"/>
          <w:szCs w:val="20"/>
        </w:rPr>
      </w:pPr>
      <w:r w:rsidRPr="00167882">
        <w:rPr>
          <w:rFonts w:asciiTheme="majorHAnsi" w:hAnsiTheme="majorHAnsi"/>
          <w:b/>
          <w:sz w:val="20"/>
          <w:szCs w:val="20"/>
        </w:rPr>
        <w:t>Figure 1</w:t>
      </w:r>
      <w:r w:rsidRPr="00167882">
        <w:rPr>
          <w:rFonts w:asciiTheme="majorHAnsi" w:hAnsiTheme="majorHAnsi"/>
          <w:sz w:val="20"/>
          <w:szCs w:val="20"/>
        </w:rPr>
        <w:t xml:space="preserve"> TFRs trend, Zimbabwe from various censuses             </w:t>
      </w:r>
      <w:r w:rsidRPr="00167882">
        <w:rPr>
          <w:rFonts w:asciiTheme="majorHAnsi" w:hAnsiTheme="majorHAnsi"/>
          <w:b/>
          <w:sz w:val="20"/>
          <w:szCs w:val="20"/>
        </w:rPr>
        <w:t>Figure 2</w:t>
      </w:r>
      <w:r w:rsidRPr="00167882">
        <w:rPr>
          <w:rFonts w:asciiTheme="majorHAnsi" w:hAnsiTheme="majorHAnsi"/>
          <w:sz w:val="20"/>
          <w:szCs w:val="20"/>
        </w:rPr>
        <w:t xml:space="preserve"> ASDRs 1992, 2002, 2012</w:t>
      </w:r>
    </w:p>
    <w:p w:rsidR="00D449AA" w:rsidRPr="00167882" w:rsidRDefault="00D449AA" w:rsidP="00A23892">
      <w:pPr>
        <w:spacing w:after="0" w:line="240" w:lineRule="auto"/>
        <w:jc w:val="both"/>
        <w:rPr>
          <w:rFonts w:asciiTheme="majorHAnsi" w:hAnsiTheme="majorHAnsi"/>
          <w:sz w:val="24"/>
          <w:szCs w:val="24"/>
        </w:rPr>
      </w:pPr>
    </w:p>
    <w:p w:rsidR="000E7F0E" w:rsidRPr="00167882" w:rsidRDefault="000E7F0E" w:rsidP="00A23892">
      <w:pPr>
        <w:spacing w:after="0" w:line="240" w:lineRule="auto"/>
        <w:jc w:val="both"/>
        <w:rPr>
          <w:rFonts w:asciiTheme="majorHAnsi" w:hAnsiTheme="majorHAnsi"/>
          <w:sz w:val="24"/>
          <w:szCs w:val="24"/>
        </w:rPr>
      </w:pPr>
      <w:r w:rsidRPr="00167882">
        <w:rPr>
          <w:rFonts w:asciiTheme="majorHAnsi" w:hAnsiTheme="majorHAnsi"/>
          <w:sz w:val="24"/>
          <w:szCs w:val="24"/>
        </w:rPr>
        <w:t>The Age Specific Fertility Rates (ASFRs) have also been declining from 1992. However the 2002 ASFRs are lower than the 2012 rates, which is consistent with a higher TFR in 2012 compared to 2002. Women in the age group 20-39 experienced higher ASFRs in 2012 than their counterparts during 2002.</w:t>
      </w:r>
    </w:p>
    <w:p w:rsidR="000040E5" w:rsidRPr="00167882" w:rsidRDefault="000040E5" w:rsidP="00A23892">
      <w:pPr>
        <w:spacing w:after="0" w:line="240" w:lineRule="auto"/>
        <w:rPr>
          <w:rFonts w:asciiTheme="majorHAnsi" w:hAnsiTheme="majorHAnsi"/>
          <w:b/>
          <w:sz w:val="24"/>
          <w:szCs w:val="24"/>
        </w:rPr>
      </w:pPr>
    </w:p>
    <w:p w:rsidR="000040E5" w:rsidRPr="00273DC5" w:rsidRDefault="000040E5" w:rsidP="001F1E92">
      <w:pPr>
        <w:pStyle w:val="Heading2"/>
        <w:rPr>
          <w:b/>
          <w:color w:val="auto"/>
        </w:rPr>
      </w:pPr>
      <w:bookmarkStart w:id="2" w:name="_Toc432886482"/>
      <w:r w:rsidRPr="00273DC5">
        <w:rPr>
          <w:b/>
          <w:color w:val="auto"/>
        </w:rPr>
        <w:t>1.2 Mean Parity</w:t>
      </w:r>
      <w:bookmarkEnd w:id="2"/>
    </w:p>
    <w:p w:rsidR="008B17AD" w:rsidRDefault="008B17AD" w:rsidP="008B17AD">
      <w:pPr>
        <w:spacing w:after="0" w:line="240" w:lineRule="auto"/>
        <w:rPr>
          <w:rFonts w:asciiTheme="majorHAnsi" w:eastAsia="Calibri" w:hAnsiTheme="majorHAnsi"/>
          <w:sz w:val="24"/>
          <w:szCs w:val="24"/>
        </w:rPr>
      </w:pPr>
      <w:r w:rsidRPr="00167882">
        <w:rPr>
          <w:rFonts w:asciiTheme="majorHAnsi" w:eastAsia="Calibri" w:hAnsiTheme="majorHAnsi"/>
          <w:noProof/>
          <w:sz w:val="24"/>
          <w:szCs w:val="24"/>
          <w:lang w:eastAsia="en-ZW"/>
        </w:rPr>
        <w:drawing>
          <wp:anchor distT="0" distB="0" distL="114300" distR="114300" simplePos="0" relativeHeight="251681792" behindDoc="0" locked="0" layoutInCell="1" allowOverlap="1" wp14:anchorId="322C4A13" wp14:editId="682281DB">
            <wp:simplePos x="0" y="0"/>
            <wp:positionH relativeFrom="column">
              <wp:posOffset>76200</wp:posOffset>
            </wp:positionH>
            <wp:positionV relativeFrom="paragraph">
              <wp:posOffset>342265</wp:posOffset>
            </wp:positionV>
            <wp:extent cx="3248025" cy="1990725"/>
            <wp:effectExtent l="0" t="0" r="9525" b="9525"/>
            <wp:wrapSquare wrapText="bothSides"/>
            <wp:docPr id="4"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8025" cy="1990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0F16" w:rsidRPr="00167882">
        <w:rPr>
          <w:rFonts w:asciiTheme="majorHAnsi" w:hAnsiTheme="majorHAnsi"/>
          <w:bCs/>
          <w:sz w:val="20"/>
          <w:szCs w:val="20"/>
          <w:lang w:val="en-US"/>
        </w:rPr>
        <w:t xml:space="preserve"> </w:t>
      </w:r>
      <w:r w:rsidR="000E7F0E" w:rsidRPr="00167882">
        <w:rPr>
          <w:rFonts w:asciiTheme="majorHAnsi" w:hAnsiTheme="majorHAnsi"/>
          <w:sz w:val="24"/>
          <w:szCs w:val="24"/>
        </w:rPr>
        <w:t>Consistent with the decline in fertility is the decline in mean parities</w:t>
      </w:r>
      <w:r>
        <w:rPr>
          <w:rFonts w:asciiTheme="majorHAnsi" w:hAnsiTheme="majorHAnsi"/>
          <w:sz w:val="24"/>
          <w:szCs w:val="24"/>
        </w:rPr>
        <w:t xml:space="preserve"> (average number of children ever born to a cohort of women)</w:t>
      </w:r>
      <w:r w:rsidR="000E7F0E" w:rsidRPr="00167882">
        <w:rPr>
          <w:rFonts w:asciiTheme="majorHAnsi" w:hAnsiTheme="majorHAnsi"/>
          <w:sz w:val="24"/>
          <w:szCs w:val="24"/>
        </w:rPr>
        <w:t xml:space="preserve"> by age. </w:t>
      </w:r>
      <w:r w:rsidR="000E7F0E" w:rsidRPr="00167882">
        <w:rPr>
          <w:rFonts w:asciiTheme="majorHAnsi" w:eastAsia="Calibri" w:hAnsiTheme="majorHAnsi"/>
          <w:sz w:val="24"/>
          <w:szCs w:val="24"/>
        </w:rPr>
        <w:t xml:space="preserve">TFR, which measures current fertility, is consistently lower than the mean parity of women aged 45-49 years, a sign that fertility has been declining over the past three decades.  Nevertheless mean parities show the same declining trend as fertility and the difference between the two is eroding. </w:t>
      </w:r>
    </w:p>
    <w:p w:rsidR="008B17AD" w:rsidRDefault="008B17AD" w:rsidP="008B17AD">
      <w:pPr>
        <w:spacing w:after="0" w:line="240" w:lineRule="auto"/>
        <w:jc w:val="both"/>
        <w:rPr>
          <w:rFonts w:asciiTheme="majorHAnsi" w:hAnsiTheme="majorHAnsi"/>
          <w:b/>
          <w:bCs/>
          <w:sz w:val="20"/>
          <w:szCs w:val="20"/>
          <w:lang w:val="en-US"/>
        </w:rPr>
      </w:pPr>
    </w:p>
    <w:p w:rsidR="008B17AD" w:rsidRPr="008B17AD" w:rsidRDefault="008B17AD" w:rsidP="008B17AD">
      <w:pPr>
        <w:spacing w:after="0" w:line="240" w:lineRule="auto"/>
        <w:jc w:val="both"/>
        <w:rPr>
          <w:rFonts w:asciiTheme="majorHAnsi" w:eastAsia="Calibri" w:hAnsiTheme="majorHAnsi"/>
          <w:sz w:val="24"/>
          <w:szCs w:val="24"/>
        </w:rPr>
      </w:pPr>
      <w:r w:rsidRPr="00167882">
        <w:rPr>
          <w:rFonts w:asciiTheme="majorHAnsi" w:hAnsiTheme="majorHAnsi"/>
          <w:b/>
          <w:bCs/>
          <w:sz w:val="20"/>
          <w:szCs w:val="20"/>
          <w:lang w:val="en-US"/>
        </w:rPr>
        <w:t xml:space="preserve">Figure </w:t>
      </w:r>
      <w:r w:rsidR="004227AB">
        <w:rPr>
          <w:rFonts w:asciiTheme="majorHAnsi" w:hAnsiTheme="majorHAnsi"/>
          <w:b/>
          <w:bCs/>
          <w:sz w:val="20"/>
          <w:szCs w:val="20"/>
          <w:lang w:val="en-US"/>
        </w:rPr>
        <w:t>3</w:t>
      </w:r>
      <w:r w:rsidRPr="00167882">
        <w:rPr>
          <w:rFonts w:asciiTheme="majorHAnsi" w:hAnsiTheme="majorHAnsi"/>
          <w:b/>
          <w:bCs/>
          <w:sz w:val="20"/>
          <w:szCs w:val="20"/>
          <w:lang w:val="en-US"/>
        </w:rPr>
        <w:t>:</w:t>
      </w:r>
      <w:r w:rsidRPr="00167882">
        <w:rPr>
          <w:rFonts w:asciiTheme="majorHAnsi" w:hAnsiTheme="majorHAnsi"/>
          <w:bCs/>
          <w:sz w:val="20"/>
          <w:szCs w:val="20"/>
          <w:lang w:val="en-US"/>
        </w:rPr>
        <w:t xml:space="preserve"> Mean Parity, women 45-49 years &amp; TFR</w:t>
      </w:r>
    </w:p>
    <w:p w:rsidR="000E7F0E" w:rsidRPr="00167882" w:rsidRDefault="000E7F0E" w:rsidP="005E7FC9">
      <w:pPr>
        <w:autoSpaceDE w:val="0"/>
        <w:autoSpaceDN w:val="0"/>
        <w:adjustRightInd w:val="0"/>
        <w:spacing w:after="0" w:line="240" w:lineRule="auto"/>
        <w:rPr>
          <w:rFonts w:asciiTheme="majorHAnsi" w:hAnsiTheme="majorHAnsi" w:cs="HelveticaNeue-Roman"/>
          <w:sz w:val="24"/>
          <w:szCs w:val="24"/>
        </w:rPr>
      </w:pPr>
    </w:p>
    <w:p w:rsidR="000E7F0E" w:rsidRPr="00167882" w:rsidRDefault="008B17AD" w:rsidP="005E7FC9">
      <w:pPr>
        <w:autoSpaceDE w:val="0"/>
        <w:autoSpaceDN w:val="0"/>
        <w:adjustRightInd w:val="0"/>
        <w:spacing w:after="0" w:line="240" w:lineRule="auto"/>
        <w:rPr>
          <w:rFonts w:asciiTheme="majorHAnsi" w:hAnsiTheme="majorHAnsi" w:cs="HelveticaNeue-Roman"/>
          <w:sz w:val="24"/>
          <w:szCs w:val="24"/>
        </w:rPr>
      </w:pPr>
      <w:r>
        <w:rPr>
          <w:noProof/>
          <w:lang w:eastAsia="en-ZW"/>
        </w:rPr>
        <w:drawing>
          <wp:anchor distT="0" distB="0" distL="114300" distR="114300" simplePos="0" relativeHeight="251661312" behindDoc="0" locked="0" layoutInCell="1" allowOverlap="1" wp14:anchorId="1F54CD4D" wp14:editId="1354C477">
            <wp:simplePos x="0" y="0"/>
            <wp:positionH relativeFrom="column">
              <wp:posOffset>38100</wp:posOffset>
            </wp:positionH>
            <wp:positionV relativeFrom="paragraph">
              <wp:posOffset>511175</wp:posOffset>
            </wp:positionV>
            <wp:extent cx="4109085" cy="2661285"/>
            <wp:effectExtent l="0" t="0" r="5715" b="5715"/>
            <wp:wrapSquare wrapText="bothSides"/>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0E7F0E" w:rsidRPr="00167882">
        <w:rPr>
          <w:rFonts w:asciiTheme="majorHAnsi" w:hAnsiTheme="majorHAnsi" w:cs="HelveticaNeue-Roman"/>
          <w:sz w:val="24"/>
          <w:szCs w:val="24"/>
        </w:rPr>
        <w:t xml:space="preserve">Compared to countries in the SADC region Zimbabwe is ranked in the middle in terms of the level of its Total Fertility Rate. </w:t>
      </w:r>
      <w:r w:rsidR="00D0273B">
        <w:rPr>
          <w:rFonts w:asciiTheme="majorHAnsi" w:hAnsiTheme="majorHAnsi" w:cs="HelveticaNeue-Roman"/>
          <w:sz w:val="24"/>
          <w:szCs w:val="24"/>
        </w:rPr>
        <w:t>Figure 5 shows that</w:t>
      </w:r>
      <w:r w:rsidR="007D52E3">
        <w:rPr>
          <w:rFonts w:asciiTheme="majorHAnsi" w:hAnsiTheme="majorHAnsi" w:cs="HelveticaNeue-Roman"/>
          <w:sz w:val="24"/>
          <w:szCs w:val="24"/>
        </w:rPr>
        <w:t>, generally,</w:t>
      </w:r>
      <w:r w:rsidR="00D0273B">
        <w:rPr>
          <w:rFonts w:asciiTheme="majorHAnsi" w:hAnsiTheme="majorHAnsi" w:cs="HelveticaNeue-Roman"/>
          <w:sz w:val="24"/>
          <w:szCs w:val="24"/>
        </w:rPr>
        <w:t xml:space="preserve"> countries with higher GDP per capita have lower fertility rates i.e. South Africa, Botswana and Namibia, and those with lower GDP experience higher fertility levels i.e. Zimbabwe, Mozambique and Malawi. </w:t>
      </w:r>
    </w:p>
    <w:p w:rsidR="008B17AD" w:rsidRDefault="008B17AD" w:rsidP="008B17AD">
      <w:pPr>
        <w:autoSpaceDE w:val="0"/>
        <w:autoSpaceDN w:val="0"/>
        <w:adjustRightInd w:val="0"/>
        <w:spacing w:after="0" w:line="240" w:lineRule="auto"/>
        <w:rPr>
          <w:rFonts w:asciiTheme="majorHAnsi" w:hAnsiTheme="majorHAnsi" w:cs="HelveticaNeue-Roman"/>
          <w:b/>
          <w:sz w:val="20"/>
          <w:szCs w:val="20"/>
        </w:rPr>
      </w:pPr>
    </w:p>
    <w:p w:rsidR="008B17AD" w:rsidRDefault="008B17AD" w:rsidP="008B17AD">
      <w:pPr>
        <w:autoSpaceDE w:val="0"/>
        <w:autoSpaceDN w:val="0"/>
        <w:adjustRightInd w:val="0"/>
        <w:spacing w:after="0" w:line="240" w:lineRule="auto"/>
        <w:rPr>
          <w:rFonts w:asciiTheme="majorHAnsi" w:hAnsiTheme="majorHAnsi" w:cs="HelveticaNeue-Roman"/>
          <w:b/>
          <w:sz w:val="20"/>
          <w:szCs w:val="20"/>
        </w:rPr>
      </w:pPr>
    </w:p>
    <w:p w:rsidR="008B17AD" w:rsidRDefault="008B17AD" w:rsidP="008B17AD">
      <w:pPr>
        <w:autoSpaceDE w:val="0"/>
        <w:autoSpaceDN w:val="0"/>
        <w:adjustRightInd w:val="0"/>
        <w:spacing w:after="0" w:line="240" w:lineRule="auto"/>
        <w:rPr>
          <w:rFonts w:asciiTheme="majorHAnsi" w:hAnsiTheme="majorHAnsi" w:cs="HelveticaNeue-Roman"/>
          <w:b/>
          <w:sz w:val="20"/>
          <w:szCs w:val="20"/>
        </w:rPr>
      </w:pPr>
    </w:p>
    <w:p w:rsidR="008B17AD" w:rsidRDefault="008B17AD" w:rsidP="008B17AD">
      <w:pPr>
        <w:autoSpaceDE w:val="0"/>
        <w:autoSpaceDN w:val="0"/>
        <w:adjustRightInd w:val="0"/>
        <w:spacing w:after="0" w:line="240" w:lineRule="auto"/>
        <w:rPr>
          <w:rFonts w:asciiTheme="majorHAnsi" w:hAnsiTheme="majorHAnsi" w:cs="HelveticaNeue-Roman"/>
          <w:b/>
          <w:sz w:val="20"/>
          <w:szCs w:val="20"/>
        </w:rPr>
      </w:pPr>
    </w:p>
    <w:p w:rsidR="008B17AD" w:rsidRDefault="008B17AD" w:rsidP="008B17AD">
      <w:pPr>
        <w:autoSpaceDE w:val="0"/>
        <w:autoSpaceDN w:val="0"/>
        <w:adjustRightInd w:val="0"/>
        <w:spacing w:after="0" w:line="240" w:lineRule="auto"/>
        <w:rPr>
          <w:rFonts w:asciiTheme="majorHAnsi" w:hAnsiTheme="majorHAnsi" w:cs="HelveticaNeue-Roman"/>
          <w:b/>
          <w:sz w:val="20"/>
          <w:szCs w:val="20"/>
        </w:rPr>
      </w:pPr>
    </w:p>
    <w:p w:rsidR="008B17AD" w:rsidRDefault="008B17AD" w:rsidP="008B17AD">
      <w:pPr>
        <w:autoSpaceDE w:val="0"/>
        <w:autoSpaceDN w:val="0"/>
        <w:adjustRightInd w:val="0"/>
        <w:spacing w:after="0" w:line="240" w:lineRule="auto"/>
        <w:rPr>
          <w:rFonts w:asciiTheme="majorHAnsi" w:hAnsiTheme="majorHAnsi" w:cs="HelveticaNeue-Roman"/>
          <w:b/>
          <w:sz w:val="20"/>
          <w:szCs w:val="20"/>
        </w:rPr>
      </w:pPr>
    </w:p>
    <w:p w:rsidR="008B17AD" w:rsidRDefault="008B17AD" w:rsidP="008B17AD">
      <w:pPr>
        <w:autoSpaceDE w:val="0"/>
        <w:autoSpaceDN w:val="0"/>
        <w:adjustRightInd w:val="0"/>
        <w:spacing w:after="0" w:line="240" w:lineRule="auto"/>
        <w:rPr>
          <w:rFonts w:asciiTheme="majorHAnsi" w:hAnsiTheme="majorHAnsi" w:cs="HelveticaNeue-Roman"/>
          <w:b/>
          <w:sz w:val="20"/>
          <w:szCs w:val="20"/>
        </w:rPr>
      </w:pPr>
    </w:p>
    <w:p w:rsidR="008B17AD" w:rsidRPr="00167882" w:rsidRDefault="008B17AD" w:rsidP="008B17AD">
      <w:pPr>
        <w:autoSpaceDE w:val="0"/>
        <w:autoSpaceDN w:val="0"/>
        <w:adjustRightInd w:val="0"/>
        <w:spacing w:after="0" w:line="240" w:lineRule="auto"/>
        <w:rPr>
          <w:rFonts w:asciiTheme="majorHAnsi" w:hAnsiTheme="majorHAnsi" w:cs="HelveticaNeue-Roman"/>
          <w:sz w:val="20"/>
          <w:szCs w:val="20"/>
        </w:rPr>
      </w:pPr>
      <w:r w:rsidRPr="00167882">
        <w:rPr>
          <w:rFonts w:asciiTheme="majorHAnsi" w:hAnsiTheme="majorHAnsi" w:cs="HelveticaNeue-Roman"/>
          <w:b/>
          <w:sz w:val="20"/>
          <w:szCs w:val="20"/>
        </w:rPr>
        <w:t xml:space="preserve">Figure </w:t>
      </w:r>
      <w:r w:rsidR="004227AB">
        <w:rPr>
          <w:rFonts w:asciiTheme="majorHAnsi" w:hAnsiTheme="majorHAnsi" w:cs="HelveticaNeue-Roman"/>
          <w:b/>
          <w:sz w:val="20"/>
          <w:szCs w:val="20"/>
        </w:rPr>
        <w:t>4</w:t>
      </w:r>
      <w:r w:rsidRPr="00167882">
        <w:rPr>
          <w:rFonts w:asciiTheme="majorHAnsi" w:hAnsiTheme="majorHAnsi" w:cs="HelveticaNeue-Roman"/>
          <w:sz w:val="20"/>
          <w:szCs w:val="20"/>
        </w:rPr>
        <w:t xml:space="preserve">. </w:t>
      </w:r>
      <w:r w:rsidRPr="00167882">
        <w:rPr>
          <w:rFonts w:asciiTheme="majorHAnsi" w:hAnsiTheme="majorHAnsi" w:cs="HelveticaNeue-Roman"/>
          <w:bCs/>
          <w:sz w:val="20"/>
          <w:szCs w:val="20"/>
          <w:lang w:val="en-US"/>
        </w:rPr>
        <w:t xml:space="preserve">Total Fertility Rates </w:t>
      </w:r>
      <w:r>
        <w:rPr>
          <w:rFonts w:asciiTheme="majorHAnsi" w:hAnsiTheme="majorHAnsi" w:cs="HelveticaNeue-Roman"/>
          <w:bCs/>
          <w:sz w:val="20"/>
          <w:szCs w:val="20"/>
          <w:lang w:val="en-US"/>
        </w:rPr>
        <w:t xml:space="preserve">and per Capita GDP </w:t>
      </w:r>
      <w:r w:rsidRPr="00167882">
        <w:rPr>
          <w:rFonts w:asciiTheme="majorHAnsi" w:hAnsiTheme="majorHAnsi" w:cs="HelveticaNeue-Roman"/>
          <w:bCs/>
          <w:sz w:val="20"/>
          <w:szCs w:val="20"/>
          <w:lang w:val="en-US"/>
        </w:rPr>
        <w:t>by country - Southern Africa</w:t>
      </w:r>
    </w:p>
    <w:p w:rsidR="000E7F0E" w:rsidRDefault="008B17AD" w:rsidP="008B17AD">
      <w:pPr>
        <w:autoSpaceDE w:val="0"/>
        <w:autoSpaceDN w:val="0"/>
        <w:adjustRightInd w:val="0"/>
        <w:spacing w:after="0" w:line="240" w:lineRule="auto"/>
        <w:rPr>
          <w:rFonts w:asciiTheme="majorHAnsi" w:hAnsiTheme="majorHAnsi" w:cs="HelveticaNeue-Roman"/>
          <w:sz w:val="20"/>
          <w:szCs w:val="20"/>
        </w:rPr>
      </w:pPr>
      <w:r w:rsidRPr="00167882">
        <w:rPr>
          <w:rFonts w:asciiTheme="majorHAnsi" w:hAnsiTheme="majorHAnsi" w:cs="HelveticaNeue-Roman"/>
          <w:i/>
          <w:sz w:val="20"/>
          <w:szCs w:val="20"/>
        </w:rPr>
        <w:t>Source:</w:t>
      </w:r>
      <w:r w:rsidRPr="00167882">
        <w:rPr>
          <w:rFonts w:asciiTheme="majorHAnsi" w:hAnsiTheme="majorHAnsi" w:cs="HelveticaNeue-Roman"/>
          <w:sz w:val="20"/>
          <w:szCs w:val="20"/>
        </w:rPr>
        <w:t xml:space="preserve"> Zimbabwe 2012 Population Census, World Bank (2015)</w:t>
      </w:r>
    </w:p>
    <w:p w:rsidR="008B17AD" w:rsidRPr="00167882" w:rsidRDefault="008B17AD" w:rsidP="008B17AD">
      <w:pPr>
        <w:autoSpaceDE w:val="0"/>
        <w:autoSpaceDN w:val="0"/>
        <w:adjustRightInd w:val="0"/>
        <w:spacing w:after="0" w:line="240" w:lineRule="auto"/>
        <w:rPr>
          <w:rFonts w:asciiTheme="majorHAnsi" w:hAnsiTheme="majorHAnsi" w:cs="HelveticaNeue-Roman"/>
          <w:sz w:val="24"/>
          <w:szCs w:val="24"/>
        </w:rPr>
      </w:pPr>
    </w:p>
    <w:p w:rsidR="000E7F0E" w:rsidRPr="00273DC5" w:rsidRDefault="000040E5" w:rsidP="001F1E92">
      <w:pPr>
        <w:pStyle w:val="Heading2"/>
        <w:rPr>
          <w:b/>
          <w:color w:val="auto"/>
        </w:rPr>
      </w:pPr>
      <w:bookmarkStart w:id="3" w:name="_Toc432886483"/>
      <w:r w:rsidRPr="00273DC5">
        <w:rPr>
          <w:b/>
          <w:color w:val="auto"/>
        </w:rPr>
        <w:t xml:space="preserve">1.3 </w:t>
      </w:r>
      <w:r w:rsidR="000E7F0E" w:rsidRPr="00273DC5">
        <w:rPr>
          <w:b/>
          <w:color w:val="auto"/>
        </w:rPr>
        <w:t>Fertility Differentials</w:t>
      </w:r>
      <w:bookmarkEnd w:id="3"/>
    </w:p>
    <w:p w:rsidR="000E7F0E" w:rsidRDefault="003852C2" w:rsidP="008B17AD">
      <w:pPr>
        <w:spacing w:after="0" w:line="240" w:lineRule="auto"/>
        <w:contextualSpacing/>
        <w:rPr>
          <w:rFonts w:asciiTheme="majorHAnsi" w:eastAsia="Calibri" w:hAnsiTheme="majorHAnsi"/>
          <w:sz w:val="24"/>
          <w:szCs w:val="24"/>
        </w:rPr>
      </w:pPr>
      <w:r w:rsidRPr="00167882">
        <w:rPr>
          <w:rFonts w:asciiTheme="majorHAnsi" w:hAnsiTheme="majorHAnsi"/>
          <w:noProof/>
          <w:sz w:val="24"/>
          <w:szCs w:val="24"/>
          <w:lang w:eastAsia="en-ZW"/>
        </w:rPr>
        <w:drawing>
          <wp:anchor distT="0" distB="0" distL="114300" distR="114300" simplePos="0" relativeHeight="251662336" behindDoc="0" locked="0" layoutInCell="1" allowOverlap="1" wp14:anchorId="0EF55844" wp14:editId="7547F3C8">
            <wp:simplePos x="0" y="0"/>
            <wp:positionH relativeFrom="column">
              <wp:posOffset>152400</wp:posOffset>
            </wp:positionH>
            <wp:positionV relativeFrom="paragraph">
              <wp:posOffset>416560</wp:posOffset>
            </wp:positionV>
            <wp:extent cx="3855720" cy="2773680"/>
            <wp:effectExtent l="0" t="0" r="11430" b="7620"/>
            <wp:wrapSquare wrapText="bothSides"/>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roofErr w:type="spellStart"/>
      <w:r w:rsidR="000E7F0E" w:rsidRPr="00167882">
        <w:rPr>
          <w:rFonts w:asciiTheme="majorHAnsi" w:eastAsia="Calibri" w:hAnsiTheme="majorHAnsi"/>
          <w:sz w:val="24"/>
          <w:szCs w:val="24"/>
        </w:rPr>
        <w:t>Manicaland</w:t>
      </w:r>
      <w:proofErr w:type="spellEnd"/>
      <w:r w:rsidR="000E7F0E" w:rsidRPr="00167882">
        <w:rPr>
          <w:rFonts w:asciiTheme="majorHAnsi" w:eastAsia="Calibri" w:hAnsiTheme="majorHAnsi"/>
          <w:sz w:val="24"/>
          <w:szCs w:val="24"/>
        </w:rPr>
        <w:t xml:space="preserve">, Mashonaland Central, Mashonaland East and Mashonaland West provinces had TFRs of at least 4.0. Harare and Bulawayo provinces, which are predominantly urban had much lower TFR of 3.1 and 2.7 respectively. Among the rural provinces there is not much variation in TFRs except for the </w:t>
      </w:r>
      <w:r w:rsidR="00E7131C" w:rsidRPr="00167882">
        <w:rPr>
          <w:rFonts w:asciiTheme="majorHAnsi" w:eastAsia="Calibri" w:hAnsiTheme="majorHAnsi"/>
          <w:sz w:val="24"/>
          <w:szCs w:val="24"/>
        </w:rPr>
        <w:t>Matabeleland</w:t>
      </w:r>
      <w:r w:rsidR="000E7F0E" w:rsidRPr="00167882">
        <w:rPr>
          <w:rFonts w:asciiTheme="majorHAnsi" w:eastAsia="Calibri" w:hAnsiTheme="majorHAnsi"/>
          <w:sz w:val="24"/>
          <w:szCs w:val="24"/>
        </w:rPr>
        <w:t xml:space="preserve"> provinces which had much lower TFRs compared to other provinces.  </w:t>
      </w:r>
    </w:p>
    <w:p w:rsidR="008B17AD" w:rsidRDefault="008B17AD" w:rsidP="008B17AD">
      <w:pPr>
        <w:spacing w:after="0" w:line="240" w:lineRule="auto"/>
        <w:contextualSpacing/>
        <w:rPr>
          <w:rFonts w:asciiTheme="majorHAnsi" w:eastAsia="Calibri" w:hAnsiTheme="majorHAnsi"/>
          <w:sz w:val="24"/>
          <w:szCs w:val="24"/>
        </w:rPr>
      </w:pPr>
    </w:p>
    <w:p w:rsidR="008B17AD" w:rsidRDefault="008B17AD" w:rsidP="008B17AD">
      <w:pPr>
        <w:spacing w:after="0" w:line="240" w:lineRule="auto"/>
        <w:contextualSpacing/>
        <w:rPr>
          <w:rFonts w:asciiTheme="majorHAnsi" w:eastAsia="Calibri" w:hAnsiTheme="majorHAnsi"/>
          <w:sz w:val="24"/>
          <w:szCs w:val="24"/>
        </w:rPr>
      </w:pPr>
    </w:p>
    <w:p w:rsidR="008B17AD" w:rsidRDefault="008B17AD" w:rsidP="008B17AD">
      <w:pPr>
        <w:spacing w:after="0" w:line="240" w:lineRule="auto"/>
        <w:contextualSpacing/>
        <w:rPr>
          <w:rFonts w:asciiTheme="majorHAnsi" w:eastAsia="Calibri" w:hAnsiTheme="majorHAnsi"/>
          <w:sz w:val="24"/>
          <w:szCs w:val="24"/>
        </w:rPr>
      </w:pPr>
    </w:p>
    <w:p w:rsidR="008B17AD" w:rsidRDefault="008B17AD" w:rsidP="008B17AD">
      <w:pPr>
        <w:spacing w:after="0" w:line="240" w:lineRule="auto"/>
        <w:contextualSpacing/>
        <w:rPr>
          <w:rFonts w:asciiTheme="majorHAnsi" w:eastAsia="Calibri" w:hAnsiTheme="majorHAnsi"/>
          <w:sz w:val="24"/>
          <w:szCs w:val="24"/>
        </w:rPr>
      </w:pPr>
    </w:p>
    <w:p w:rsidR="004227AB" w:rsidRDefault="004227AB" w:rsidP="008B17AD">
      <w:pPr>
        <w:spacing w:after="0" w:line="240" w:lineRule="auto"/>
        <w:contextualSpacing/>
        <w:rPr>
          <w:rFonts w:asciiTheme="majorHAnsi" w:eastAsia="Calibri" w:hAnsiTheme="majorHAnsi"/>
          <w:sz w:val="24"/>
          <w:szCs w:val="24"/>
        </w:rPr>
      </w:pPr>
    </w:p>
    <w:p w:rsidR="004227AB" w:rsidRDefault="004227AB" w:rsidP="008B17AD">
      <w:pPr>
        <w:spacing w:after="0" w:line="240" w:lineRule="auto"/>
        <w:contextualSpacing/>
        <w:rPr>
          <w:rFonts w:asciiTheme="majorHAnsi" w:eastAsia="Calibri" w:hAnsiTheme="majorHAnsi"/>
          <w:sz w:val="24"/>
          <w:szCs w:val="24"/>
        </w:rPr>
      </w:pPr>
    </w:p>
    <w:p w:rsidR="008B17AD" w:rsidRPr="00167882" w:rsidRDefault="008B17AD" w:rsidP="008B17AD">
      <w:pPr>
        <w:contextualSpacing/>
        <w:jc w:val="both"/>
        <w:rPr>
          <w:rFonts w:asciiTheme="majorHAnsi" w:eastAsia="Calibri" w:hAnsiTheme="majorHAnsi"/>
          <w:sz w:val="20"/>
          <w:szCs w:val="20"/>
        </w:rPr>
      </w:pPr>
      <w:r w:rsidRPr="00167882">
        <w:rPr>
          <w:rFonts w:asciiTheme="majorHAnsi" w:eastAsia="Calibri" w:hAnsiTheme="majorHAnsi"/>
          <w:b/>
          <w:sz w:val="20"/>
          <w:szCs w:val="20"/>
        </w:rPr>
        <w:t xml:space="preserve">Figure </w:t>
      </w:r>
      <w:r w:rsidR="004227AB">
        <w:rPr>
          <w:rFonts w:asciiTheme="majorHAnsi" w:eastAsia="Calibri" w:hAnsiTheme="majorHAnsi"/>
          <w:b/>
          <w:sz w:val="20"/>
          <w:szCs w:val="20"/>
        </w:rPr>
        <w:t>5</w:t>
      </w:r>
      <w:r w:rsidRPr="00167882">
        <w:rPr>
          <w:rFonts w:asciiTheme="majorHAnsi" w:eastAsia="Calibri" w:hAnsiTheme="majorHAnsi"/>
          <w:sz w:val="20"/>
          <w:szCs w:val="20"/>
        </w:rPr>
        <w:t xml:space="preserve"> </w:t>
      </w:r>
      <w:r w:rsidRPr="00167882">
        <w:rPr>
          <w:rFonts w:asciiTheme="majorHAnsi" w:eastAsia="Calibri" w:hAnsiTheme="majorHAnsi"/>
          <w:sz w:val="20"/>
          <w:szCs w:val="20"/>
          <w:lang w:val="en-US"/>
        </w:rPr>
        <w:t>Total Fertility Rates by Province</w:t>
      </w:r>
    </w:p>
    <w:p w:rsidR="008B17AD" w:rsidRPr="00167882" w:rsidRDefault="008B17AD" w:rsidP="008B17AD">
      <w:pPr>
        <w:spacing w:after="0" w:line="240" w:lineRule="auto"/>
        <w:contextualSpacing/>
        <w:rPr>
          <w:rFonts w:asciiTheme="majorHAnsi" w:eastAsia="Calibri" w:hAnsiTheme="majorHAnsi"/>
          <w:sz w:val="24"/>
          <w:szCs w:val="24"/>
        </w:rPr>
      </w:pPr>
    </w:p>
    <w:p w:rsidR="000E7F0E" w:rsidRPr="00273DC5" w:rsidRDefault="000040E5" w:rsidP="001F1E92">
      <w:pPr>
        <w:pStyle w:val="Heading2"/>
        <w:rPr>
          <w:rFonts w:eastAsia="Calibri"/>
          <w:b/>
          <w:color w:val="auto"/>
        </w:rPr>
      </w:pPr>
      <w:bookmarkStart w:id="4" w:name="_Toc432886484"/>
      <w:r w:rsidRPr="00273DC5">
        <w:rPr>
          <w:rFonts w:eastAsia="Calibri"/>
          <w:b/>
          <w:color w:val="auto"/>
        </w:rPr>
        <w:t xml:space="preserve">1.4 </w:t>
      </w:r>
      <w:r w:rsidR="000E7F0E" w:rsidRPr="00273DC5">
        <w:rPr>
          <w:rFonts w:eastAsia="Calibri"/>
          <w:b/>
          <w:color w:val="auto"/>
        </w:rPr>
        <w:t>Summary</w:t>
      </w:r>
      <w:bookmarkEnd w:id="4"/>
    </w:p>
    <w:p w:rsidR="000E7F0E" w:rsidRPr="003852C2" w:rsidRDefault="000E7F0E" w:rsidP="003852C2">
      <w:pPr>
        <w:spacing w:after="0" w:line="240" w:lineRule="auto"/>
        <w:jc w:val="both"/>
        <w:rPr>
          <w:rFonts w:asciiTheme="majorHAnsi" w:eastAsia="Calibri" w:hAnsiTheme="majorHAnsi"/>
          <w:sz w:val="24"/>
          <w:szCs w:val="24"/>
        </w:rPr>
      </w:pPr>
      <w:r w:rsidRPr="003852C2">
        <w:rPr>
          <w:rFonts w:asciiTheme="majorHAnsi" w:eastAsia="Calibri" w:hAnsiTheme="majorHAnsi"/>
          <w:sz w:val="24"/>
          <w:szCs w:val="24"/>
        </w:rPr>
        <w:t xml:space="preserve">Fertility declined between the 20-year inter-census period from 1992 with the decline of life time fertility accelerating among older women throughout the period while that of younger women declined  largely during the 1992-2002 inter census period but receded during the </w:t>
      </w:r>
      <w:r w:rsidRPr="003852C2">
        <w:rPr>
          <w:rFonts w:asciiTheme="majorHAnsi" w:eastAsia="Calibri" w:hAnsiTheme="majorHAnsi"/>
          <w:sz w:val="24"/>
          <w:szCs w:val="24"/>
        </w:rPr>
        <w:lastRenderedPageBreak/>
        <w:t xml:space="preserve">2002-2012 period. The increase in fertility between 2002 and 2012 most likely occurred after 2008 when the economy dollarized and stabilised. The increase in fertility between 2002 and 2012 can therefore be considered temporary, and will correct itself to levels below the 2002 rates.   </w:t>
      </w:r>
    </w:p>
    <w:p w:rsidR="000E7F0E" w:rsidRPr="00167882" w:rsidRDefault="000E7F0E" w:rsidP="00A23892">
      <w:pPr>
        <w:spacing w:after="0" w:line="240" w:lineRule="auto"/>
        <w:jc w:val="both"/>
        <w:rPr>
          <w:rFonts w:asciiTheme="majorHAnsi" w:eastAsia="Calibri" w:hAnsiTheme="majorHAnsi"/>
          <w:sz w:val="24"/>
          <w:szCs w:val="24"/>
        </w:rPr>
      </w:pPr>
    </w:p>
    <w:p w:rsidR="000E7F0E" w:rsidRPr="00167882" w:rsidRDefault="000E7F0E" w:rsidP="00A23892">
      <w:pPr>
        <w:spacing w:after="0" w:line="240" w:lineRule="auto"/>
        <w:jc w:val="both"/>
        <w:rPr>
          <w:rFonts w:asciiTheme="majorHAnsi" w:eastAsia="Calibri" w:hAnsiTheme="majorHAnsi"/>
          <w:sz w:val="24"/>
          <w:szCs w:val="24"/>
        </w:rPr>
      </w:pPr>
      <w:r w:rsidRPr="00167882">
        <w:rPr>
          <w:rFonts w:asciiTheme="majorHAnsi" w:eastAsia="Calibri" w:hAnsiTheme="majorHAnsi"/>
          <w:sz w:val="24"/>
          <w:szCs w:val="24"/>
        </w:rPr>
        <w:t xml:space="preserve">Going forward we expect fertility in Zimbabwe to remain high because it still occurs to early and late in the lives of mothers, as shown by the high fertility among adolescent women, and significant fertility beyond age thirty five. </w:t>
      </w:r>
      <w:r w:rsidR="006D7A24">
        <w:rPr>
          <w:rFonts w:asciiTheme="majorHAnsi" w:eastAsia="Calibri" w:hAnsiTheme="majorHAnsi"/>
          <w:sz w:val="24"/>
          <w:szCs w:val="24"/>
        </w:rPr>
        <w:t xml:space="preserve">In addition fertility remains high despite high </w:t>
      </w:r>
      <w:r w:rsidR="006D7A24" w:rsidRPr="006D7A24">
        <w:rPr>
          <w:rFonts w:asciiTheme="majorHAnsi" w:eastAsia="Calibri" w:hAnsiTheme="majorHAnsi"/>
          <w:sz w:val="24"/>
          <w:szCs w:val="24"/>
        </w:rPr>
        <w:t xml:space="preserve">educational attainment by Zimbabwean women and relatively high Contraceptive Prevalence rates among Zimbabwean women compared to other countries. Factors that could </w:t>
      </w:r>
      <w:r w:rsidR="003852C2">
        <w:rPr>
          <w:rFonts w:asciiTheme="majorHAnsi" w:eastAsia="Calibri" w:hAnsiTheme="majorHAnsi"/>
          <w:sz w:val="24"/>
          <w:szCs w:val="24"/>
        </w:rPr>
        <w:t xml:space="preserve">be </w:t>
      </w:r>
      <w:r w:rsidR="006D7A24" w:rsidRPr="006D7A24">
        <w:rPr>
          <w:rFonts w:asciiTheme="majorHAnsi" w:eastAsia="Calibri" w:hAnsiTheme="majorHAnsi"/>
          <w:sz w:val="24"/>
          <w:szCs w:val="24"/>
        </w:rPr>
        <w:t>propping fertility include parents viewing children as a form of security in old age in the absence of strong social protection systems, therefore the more the better, and children still viewed as economic assets.</w:t>
      </w:r>
      <w:r w:rsidR="006D7A24" w:rsidRPr="006D7A24">
        <w:rPr>
          <w:rFonts w:asciiTheme="majorHAnsi" w:hAnsiTheme="majorHAnsi"/>
          <w:sz w:val="24"/>
          <w:szCs w:val="24"/>
        </w:rPr>
        <w:t xml:space="preserve">  </w:t>
      </w:r>
      <w:r w:rsidRPr="006D7A24">
        <w:rPr>
          <w:rFonts w:asciiTheme="majorHAnsi" w:eastAsia="Calibri" w:hAnsiTheme="majorHAnsi"/>
          <w:sz w:val="24"/>
          <w:szCs w:val="24"/>
        </w:rPr>
        <w:t>Meanwhile, it is important to address the increasing adolescent fertility through (</w:t>
      </w:r>
      <w:proofErr w:type="spellStart"/>
      <w:r w:rsidRPr="006D7A24">
        <w:rPr>
          <w:rFonts w:asciiTheme="majorHAnsi" w:eastAsia="Calibri" w:hAnsiTheme="majorHAnsi"/>
          <w:sz w:val="24"/>
          <w:szCs w:val="24"/>
        </w:rPr>
        <w:t>i</w:t>
      </w:r>
      <w:proofErr w:type="spellEnd"/>
      <w:r w:rsidRPr="006D7A24">
        <w:rPr>
          <w:rFonts w:asciiTheme="majorHAnsi" w:eastAsia="Calibri" w:hAnsiTheme="majorHAnsi"/>
          <w:sz w:val="24"/>
          <w:szCs w:val="24"/>
        </w:rPr>
        <w:t>) keeping adolescents in school and colleges, and creating jobs for them (ii) making it easy for adolescents to access family planning information and services and (iii) designing programmes which will encourage contraceptive use intended to delay the first birth within marriage.</w:t>
      </w:r>
      <w:r w:rsidRPr="00167882">
        <w:rPr>
          <w:rFonts w:asciiTheme="majorHAnsi" w:eastAsia="Calibri" w:hAnsiTheme="majorHAnsi"/>
          <w:sz w:val="24"/>
          <w:szCs w:val="24"/>
        </w:rPr>
        <w:t xml:space="preserve">  </w:t>
      </w:r>
    </w:p>
    <w:p w:rsidR="000E7F0E" w:rsidRPr="00273DC5" w:rsidRDefault="000040E5" w:rsidP="001F1E92">
      <w:pPr>
        <w:pStyle w:val="Heading1"/>
        <w:rPr>
          <w:b/>
          <w:color w:val="auto"/>
        </w:rPr>
      </w:pPr>
      <w:bookmarkStart w:id="5" w:name="_Toc432886485"/>
      <w:r w:rsidRPr="00273DC5">
        <w:rPr>
          <w:b/>
          <w:color w:val="auto"/>
        </w:rPr>
        <w:t xml:space="preserve">2.0 </w:t>
      </w:r>
      <w:r w:rsidR="00D40FB2" w:rsidRPr="00273DC5">
        <w:rPr>
          <w:b/>
          <w:color w:val="auto"/>
        </w:rPr>
        <w:t>MORTALITY</w:t>
      </w:r>
      <w:bookmarkEnd w:id="5"/>
    </w:p>
    <w:p w:rsidR="000E7F0E" w:rsidRPr="00273DC5" w:rsidRDefault="000040E5" w:rsidP="001F1E92">
      <w:pPr>
        <w:pStyle w:val="Heading2"/>
        <w:rPr>
          <w:b/>
          <w:color w:val="auto"/>
        </w:rPr>
      </w:pPr>
      <w:bookmarkStart w:id="6" w:name="_Toc432886486"/>
      <w:r w:rsidRPr="00273DC5">
        <w:rPr>
          <w:b/>
          <w:color w:val="auto"/>
        </w:rPr>
        <w:t xml:space="preserve">2.1 </w:t>
      </w:r>
      <w:r w:rsidR="000E7F0E" w:rsidRPr="00273DC5">
        <w:rPr>
          <w:b/>
          <w:color w:val="auto"/>
        </w:rPr>
        <w:t>Mortality in the General Population</w:t>
      </w:r>
      <w:bookmarkEnd w:id="6"/>
    </w:p>
    <w:p w:rsidR="000E7F0E" w:rsidRPr="00167882" w:rsidRDefault="008B17AD" w:rsidP="00A23892">
      <w:pPr>
        <w:autoSpaceDE w:val="0"/>
        <w:autoSpaceDN w:val="0"/>
        <w:adjustRightInd w:val="0"/>
        <w:spacing w:after="0" w:line="240" w:lineRule="auto"/>
        <w:jc w:val="both"/>
        <w:rPr>
          <w:rFonts w:asciiTheme="majorHAnsi" w:hAnsiTheme="majorHAnsi" w:cs="HelveticaNeue-Roman"/>
          <w:sz w:val="24"/>
          <w:szCs w:val="24"/>
        </w:rPr>
      </w:pPr>
      <w:r w:rsidRPr="00167882">
        <w:rPr>
          <w:rFonts w:asciiTheme="majorHAnsi" w:hAnsiTheme="majorHAnsi"/>
          <w:noProof/>
          <w:sz w:val="24"/>
          <w:szCs w:val="24"/>
          <w:lang w:eastAsia="en-ZW"/>
        </w:rPr>
        <w:drawing>
          <wp:anchor distT="0" distB="0" distL="114300" distR="114300" simplePos="0" relativeHeight="251682816" behindDoc="0" locked="0" layoutInCell="1" allowOverlap="1" wp14:anchorId="0C2328A2" wp14:editId="3BDA9150">
            <wp:simplePos x="0" y="0"/>
            <wp:positionH relativeFrom="column">
              <wp:posOffset>0</wp:posOffset>
            </wp:positionH>
            <wp:positionV relativeFrom="paragraph">
              <wp:posOffset>455930</wp:posOffset>
            </wp:positionV>
            <wp:extent cx="4221480" cy="2781300"/>
            <wp:effectExtent l="0" t="0" r="7620" b="0"/>
            <wp:wrapSquare wrapText="bothSides"/>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0E7F0E" w:rsidRPr="00167882">
        <w:rPr>
          <w:rFonts w:asciiTheme="majorHAnsi" w:hAnsiTheme="majorHAnsi" w:cs="HelveticaNeue-Roman"/>
          <w:sz w:val="24"/>
          <w:szCs w:val="24"/>
        </w:rPr>
        <w:t>In Zimbabwe trends and levels of mortality have be</w:t>
      </w:r>
      <w:bookmarkStart w:id="7" w:name="_GoBack"/>
      <w:bookmarkEnd w:id="7"/>
      <w:r w:rsidR="000E7F0E" w:rsidRPr="00167882">
        <w:rPr>
          <w:rFonts w:asciiTheme="majorHAnsi" w:hAnsiTheme="majorHAnsi" w:cs="HelveticaNeue-Roman"/>
          <w:sz w:val="24"/>
          <w:szCs w:val="24"/>
        </w:rPr>
        <w:t xml:space="preserve">en influenced by the HIV and AIDS condition. The period 1992 to 2002, when the prevalence of HIV accelerated and when Anti-retroviral therapy (ART) was not widespread, mortality increased among the population. For the </w:t>
      </w:r>
      <w:proofErr w:type="spellStart"/>
      <w:r w:rsidR="000E7F0E" w:rsidRPr="00167882">
        <w:rPr>
          <w:rFonts w:asciiTheme="majorHAnsi" w:hAnsiTheme="majorHAnsi" w:cs="HelveticaNeue-Roman"/>
          <w:sz w:val="24"/>
          <w:szCs w:val="24"/>
        </w:rPr>
        <w:t>intercensus</w:t>
      </w:r>
      <w:proofErr w:type="spellEnd"/>
      <w:r w:rsidR="000E7F0E" w:rsidRPr="00167882">
        <w:rPr>
          <w:rFonts w:asciiTheme="majorHAnsi" w:hAnsiTheme="majorHAnsi" w:cs="HelveticaNeue-Roman"/>
          <w:sz w:val="24"/>
          <w:szCs w:val="24"/>
        </w:rPr>
        <w:t xml:space="preserve"> period 2002 to 2012, after widespread adoption of ART, mortality indicators improved significantly.  </w:t>
      </w:r>
      <w:r w:rsidR="00323017" w:rsidRPr="00167882">
        <w:rPr>
          <w:rFonts w:asciiTheme="majorHAnsi" w:hAnsiTheme="majorHAnsi" w:cs="HelveticaNeue-Roman"/>
          <w:sz w:val="24"/>
          <w:szCs w:val="24"/>
        </w:rPr>
        <w:t xml:space="preserve">Figures 9 </w:t>
      </w:r>
      <w:r w:rsidR="000E7F0E" w:rsidRPr="00167882">
        <w:rPr>
          <w:rFonts w:asciiTheme="majorHAnsi" w:hAnsiTheme="majorHAnsi" w:cs="HelveticaNeue-Roman"/>
          <w:sz w:val="24"/>
          <w:szCs w:val="24"/>
        </w:rPr>
        <w:t>below illustrate the development.</w:t>
      </w:r>
    </w:p>
    <w:p w:rsidR="000E7F0E" w:rsidRPr="00167882" w:rsidRDefault="000E7F0E" w:rsidP="00A23892">
      <w:pPr>
        <w:autoSpaceDE w:val="0"/>
        <w:autoSpaceDN w:val="0"/>
        <w:adjustRightInd w:val="0"/>
        <w:spacing w:after="0" w:line="240" w:lineRule="auto"/>
        <w:rPr>
          <w:rFonts w:asciiTheme="majorHAnsi" w:hAnsiTheme="majorHAnsi" w:cs="HelveticaNeue-Roman"/>
          <w:sz w:val="24"/>
          <w:szCs w:val="24"/>
        </w:rPr>
      </w:pPr>
    </w:p>
    <w:p w:rsidR="000E7F0E" w:rsidRDefault="000E7F0E" w:rsidP="00A23892">
      <w:pPr>
        <w:autoSpaceDE w:val="0"/>
        <w:autoSpaceDN w:val="0"/>
        <w:adjustRightInd w:val="0"/>
        <w:spacing w:after="0" w:line="240" w:lineRule="auto"/>
        <w:jc w:val="center"/>
        <w:rPr>
          <w:rFonts w:asciiTheme="majorHAnsi" w:hAnsiTheme="majorHAnsi" w:cs="Arial"/>
          <w:noProof/>
          <w:sz w:val="24"/>
          <w:szCs w:val="24"/>
          <w:lang w:eastAsia="en-ZW"/>
        </w:rPr>
      </w:pPr>
    </w:p>
    <w:p w:rsidR="008B17AD" w:rsidRPr="00167882" w:rsidRDefault="008B17AD" w:rsidP="00A23892">
      <w:pPr>
        <w:autoSpaceDE w:val="0"/>
        <w:autoSpaceDN w:val="0"/>
        <w:adjustRightInd w:val="0"/>
        <w:spacing w:after="0" w:line="240" w:lineRule="auto"/>
        <w:jc w:val="center"/>
        <w:rPr>
          <w:rFonts w:asciiTheme="majorHAnsi" w:hAnsiTheme="majorHAnsi" w:cs="Arial"/>
          <w:noProof/>
          <w:sz w:val="24"/>
          <w:szCs w:val="24"/>
          <w:lang w:eastAsia="en-ZW"/>
        </w:rPr>
      </w:pPr>
    </w:p>
    <w:p w:rsidR="00FD44CE" w:rsidRPr="00167882" w:rsidRDefault="00C52129" w:rsidP="00FD44CE">
      <w:pPr>
        <w:autoSpaceDE w:val="0"/>
        <w:autoSpaceDN w:val="0"/>
        <w:adjustRightInd w:val="0"/>
        <w:rPr>
          <w:rFonts w:asciiTheme="majorHAnsi" w:hAnsiTheme="majorHAnsi" w:cs="Arial"/>
          <w:noProof/>
          <w:sz w:val="20"/>
          <w:szCs w:val="20"/>
        </w:rPr>
      </w:pPr>
      <w:r w:rsidRPr="00167882">
        <w:rPr>
          <w:rFonts w:asciiTheme="majorHAnsi" w:hAnsiTheme="majorHAnsi" w:cs="Arial"/>
          <w:noProof/>
          <w:sz w:val="24"/>
          <w:szCs w:val="24"/>
          <w:lang w:eastAsia="en-ZW"/>
        </w:rPr>
        <w:t xml:space="preserve"> </w:t>
      </w:r>
      <w:r w:rsidRPr="00167882">
        <w:rPr>
          <w:rFonts w:asciiTheme="majorHAnsi" w:hAnsiTheme="majorHAnsi" w:cs="Arial"/>
          <w:b/>
          <w:noProof/>
          <w:sz w:val="20"/>
          <w:szCs w:val="20"/>
          <w:lang w:eastAsia="en-ZW"/>
        </w:rPr>
        <w:t xml:space="preserve">Figure </w:t>
      </w:r>
      <w:r w:rsidR="004227AB">
        <w:rPr>
          <w:rFonts w:asciiTheme="majorHAnsi" w:hAnsiTheme="majorHAnsi" w:cs="Arial"/>
          <w:b/>
          <w:noProof/>
          <w:sz w:val="20"/>
          <w:szCs w:val="20"/>
          <w:lang w:eastAsia="en-ZW"/>
        </w:rPr>
        <w:t>6</w:t>
      </w:r>
      <w:r w:rsidRPr="00167882">
        <w:rPr>
          <w:rFonts w:asciiTheme="majorHAnsi" w:hAnsiTheme="majorHAnsi" w:cs="Arial"/>
          <w:noProof/>
          <w:sz w:val="20"/>
          <w:szCs w:val="20"/>
          <w:lang w:eastAsia="en-ZW"/>
        </w:rPr>
        <w:t xml:space="preserve"> </w:t>
      </w:r>
      <w:r w:rsidR="00FD44CE" w:rsidRPr="00167882">
        <w:rPr>
          <w:rFonts w:asciiTheme="majorHAnsi" w:hAnsiTheme="majorHAnsi" w:cs="Arial"/>
          <w:bCs/>
          <w:noProof/>
          <w:sz w:val="20"/>
          <w:szCs w:val="20"/>
          <w:lang w:val="en-US"/>
        </w:rPr>
        <w:t>Crude Death Rates 1992, 2002 and 2012</w:t>
      </w:r>
    </w:p>
    <w:p w:rsidR="000E7F0E" w:rsidRPr="00167882" w:rsidRDefault="000E7F0E" w:rsidP="00A23892">
      <w:pPr>
        <w:autoSpaceDE w:val="0"/>
        <w:autoSpaceDN w:val="0"/>
        <w:adjustRightInd w:val="0"/>
        <w:spacing w:after="0" w:line="240" w:lineRule="auto"/>
        <w:jc w:val="both"/>
        <w:rPr>
          <w:rFonts w:asciiTheme="majorHAnsi" w:hAnsiTheme="majorHAnsi" w:cs="Arial"/>
          <w:noProof/>
          <w:sz w:val="24"/>
          <w:szCs w:val="24"/>
          <w:lang w:eastAsia="en-ZW"/>
        </w:rPr>
      </w:pPr>
      <w:r w:rsidRPr="00167882">
        <w:rPr>
          <w:rFonts w:asciiTheme="majorHAnsi" w:hAnsiTheme="majorHAnsi" w:cs="Arial"/>
          <w:noProof/>
          <w:sz w:val="24"/>
          <w:szCs w:val="24"/>
          <w:lang w:eastAsia="en-ZW"/>
        </w:rPr>
        <w:t>The intercensus declining tre</w:t>
      </w:r>
      <w:r w:rsidR="00D225D0" w:rsidRPr="00167882">
        <w:rPr>
          <w:rFonts w:asciiTheme="majorHAnsi" w:hAnsiTheme="majorHAnsi" w:cs="Arial"/>
          <w:noProof/>
          <w:sz w:val="24"/>
          <w:szCs w:val="24"/>
          <w:lang w:eastAsia="en-ZW"/>
        </w:rPr>
        <w:t>nd is also confirmed by Figure 11</w:t>
      </w:r>
      <w:r w:rsidRPr="00167882">
        <w:rPr>
          <w:rFonts w:asciiTheme="majorHAnsi" w:hAnsiTheme="majorHAnsi" w:cs="Arial"/>
          <w:noProof/>
          <w:sz w:val="24"/>
          <w:szCs w:val="24"/>
          <w:lang w:eastAsia="en-ZW"/>
        </w:rPr>
        <w:t xml:space="preserve"> below, which shows that at all ages below 74 years, the ASDRs were lower in 2012 than in 2002.</w:t>
      </w:r>
    </w:p>
    <w:p w:rsidR="000E7F0E" w:rsidRPr="00167882" w:rsidRDefault="000E7F0E" w:rsidP="00A23892">
      <w:pPr>
        <w:autoSpaceDE w:val="0"/>
        <w:autoSpaceDN w:val="0"/>
        <w:adjustRightInd w:val="0"/>
        <w:spacing w:after="0" w:line="240" w:lineRule="auto"/>
        <w:jc w:val="both"/>
        <w:rPr>
          <w:rFonts w:asciiTheme="majorHAnsi" w:hAnsiTheme="majorHAnsi" w:cs="HelveticaNeue-Roman"/>
          <w:sz w:val="24"/>
          <w:szCs w:val="24"/>
        </w:rPr>
      </w:pPr>
    </w:p>
    <w:p w:rsidR="000E7F0E" w:rsidRPr="00167882" w:rsidRDefault="000E7F0E" w:rsidP="00A23892">
      <w:pPr>
        <w:autoSpaceDE w:val="0"/>
        <w:autoSpaceDN w:val="0"/>
        <w:adjustRightInd w:val="0"/>
        <w:spacing w:after="0" w:line="240" w:lineRule="auto"/>
        <w:jc w:val="center"/>
        <w:rPr>
          <w:rFonts w:asciiTheme="majorHAnsi" w:hAnsiTheme="majorHAnsi" w:cs="HelveticaNeue-Roman"/>
          <w:sz w:val="24"/>
          <w:szCs w:val="24"/>
        </w:rPr>
      </w:pPr>
    </w:p>
    <w:p w:rsidR="00400EF3" w:rsidRDefault="00400EF3" w:rsidP="002A4551">
      <w:pPr>
        <w:autoSpaceDE w:val="0"/>
        <w:autoSpaceDN w:val="0"/>
        <w:adjustRightInd w:val="0"/>
        <w:jc w:val="both"/>
        <w:rPr>
          <w:rFonts w:asciiTheme="majorHAnsi" w:hAnsiTheme="majorHAnsi" w:cs="HelveticaNeue-Roman"/>
          <w:sz w:val="24"/>
          <w:szCs w:val="24"/>
        </w:rPr>
      </w:pPr>
      <w:r w:rsidRPr="00167882">
        <w:rPr>
          <w:rFonts w:asciiTheme="majorHAnsi" w:hAnsiTheme="majorHAnsi"/>
          <w:noProof/>
          <w:sz w:val="24"/>
          <w:szCs w:val="24"/>
          <w:lang w:eastAsia="en-ZW"/>
        </w:rPr>
        <w:lastRenderedPageBreak/>
        <w:drawing>
          <wp:anchor distT="0" distB="0" distL="114300" distR="114300" simplePos="0" relativeHeight="251684864" behindDoc="0" locked="0" layoutInCell="1" allowOverlap="1" wp14:anchorId="1FAE804A" wp14:editId="047C60B1">
            <wp:simplePos x="0" y="0"/>
            <wp:positionH relativeFrom="column">
              <wp:posOffset>66675</wp:posOffset>
            </wp:positionH>
            <wp:positionV relativeFrom="paragraph">
              <wp:posOffset>313690</wp:posOffset>
            </wp:positionV>
            <wp:extent cx="4248150" cy="3461385"/>
            <wp:effectExtent l="0" t="0" r="0" b="5715"/>
            <wp:wrapSquare wrapText="bothSides"/>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002A4551" w:rsidRPr="00167882">
        <w:rPr>
          <w:rFonts w:asciiTheme="majorHAnsi" w:hAnsiTheme="majorHAnsi" w:cs="HelveticaNeue-Roman"/>
          <w:sz w:val="24"/>
          <w:szCs w:val="24"/>
        </w:rPr>
        <w:t xml:space="preserve">                    </w:t>
      </w:r>
    </w:p>
    <w:p w:rsidR="00400EF3" w:rsidRDefault="00400EF3" w:rsidP="002A4551">
      <w:pPr>
        <w:autoSpaceDE w:val="0"/>
        <w:autoSpaceDN w:val="0"/>
        <w:adjustRightInd w:val="0"/>
        <w:jc w:val="both"/>
        <w:rPr>
          <w:rFonts w:asciiTheme="majorHAnsi" w:hAnsiTheme="majorHAnsi" w:cs="HelveticaNeue-Roman"/>
          <w:sz w:val="24"/>
          <w:szCs w:val="24"/>
        </w:rPr>
      </w:pPr>
    </w:p>
    <w:p w:rsidR="00400EF3" w:rsidRDefault="00400EF3" w:rsidP="002A4551">
      <w:pPr>
        <w:autoSpaceDE w:val="0"/>
        <w:autoSpaceDN w:val="0"/>
        <w:adjustRightInd w:val="0"/>
        <w:jc w:val="both"/>
        <w:rPr>
          <w:rFonts w:asciiTheme="majorHAnsi" w:hAnsiTheme="majorHAnsi" w:cs="HelveticaNeue-Roman"/>
          <w:sz w:val="24"/>
          <w:szCs w:val="24"/>
        </w:rPr>
      </w:pPr>
    </w:p>
    <w:p w:rsidR="00400EF3" w:rsidRDefault="00400EF3" w:rsidP="002A4551">
      <w:pPr>
        <w:autoSpaceDE w:val="0"/>
        <w:autoSpaceDN w:val="0"/>
        <w:adjustRightInd w:val="0"/>
        <w:jc w:val="both"/>
        <w:rPr>
          <w:rFonts w:asciiTheme="majorHAnsi" w:hAnsiTheme="majorHAnsi" w:cs="HelveticaNeue-Roman"/>
          <w:sz w:val="24"/>
          <w:szCs w:val="24"/>
        </w:rPr>
      </w:pPr>
    </w:p>
    <w:p w:rsidR="00400EF3" w:rsidRDefault="00400EF3" w:rsidP="002A4551">
      <w:pPr>
        <w:autoSpaceDE w:val="0"/>
        <w:autoSpaceDN w:val="0"/>
        <w:adjustRightInd w:val="0"/>
        <w:jc w:val="both"/>
        <w:rPr>
          <w:rFonts w:asciiTheme="majorHAnsi" w:hAnsiTheme="majorHAnsi" w:cs="HelveticaNeue-Roman"/>
          <w:sz w:val="24"/>
          <w:szCs w:val="24"/>
        </w:rPr>
      </w:pPr>
    </w:p>
    <w:p w:rsidR="00400EF3" w:rsidRDefault="00400EF3" w:rsidP="002A4551">
      <w:pPr>
        <w:autoSpaceDE w:val="0"/>
        <w:autoSpaceDN w:val="0"/>
        <w:adjustRightInd w:val="0"/>
        <w:jc w:val="both"/>
        <w:rPr>
          <w:rFonts w:asciiTheme="majorHAnsi" w:hAnsiTheme="majorHAnsi" w:cs="HelveticaNeue-Roman"/>
          <w:sz w:val="24"/>
          <w:szCs w:val="24"/>
        </w:rPr>
      </w:pPr>
    </w:p>
    <w:p w:rsidR="00400EF3" w:rsidRDefault="00400EF3" w:rsidP="002A4551">
      <w:pPr>
        <w:autoSpaceDE w:val="0"/>
        <w:autoSpaceDN w:val="0"/>
        <w:adjustRightInd w:val="0"/>
        <w:jc w:val="both"/>
        <w:rPr>
          <w:rFonts w:asciiTheme="majorHAnsi" w:hAnsiTheme="majorHAnsi" w:cs="HelveticaNeue-Roman"/>
          <w:sz w:val="24"/>
          <w:szCs w:val="24"/>
        </w:rPr>
      </w:pPr>
    </w:p>
    <w:p w:rsidR="00400EF3" w:rsidRDefault="00400EF3" w:rsidP="002A4551">
      <w:pPr>
        <w:autoSpaceDE w:val="0"/>
        <w:autoSpaceDN w:val="0"/>
        <w:adjustRightInd w:val="0"/>
        <w:jc w:val="both"/>
        <w:rPr>
          <w:rFonts w:asciiTheme="majorHAnsi" w:hAnsiTheme="majorHAnsi" w:cs="HelveticaNeue-Roman"/>
          <w:sz w:val="24"/>
          <w:szCs w:val="24"/>
        </w:rPr>
      </w:pPr>
    </w:p>
    <w:p w:rsidR="00400EF3" w:rsidRDefault="00400EF3" w:rsidP="002A4551">
      <w:pPr>
        <w:autoSpaceDE w:val="0"/>
        <w:autoSpaceDN w:val="0"/>
        <w:adjustRightInd w:val="0"/>
        <w:jc w:val="both"/>
        <w:rPr>
          <w:rFonts w:asciiTheme="majorHAnsi" w:hAnsiTheme="majorHAnsi" w:cs="HelveticaNeue-Roman"/>
          <w:sz w:val="24"/>
          <w:szCs w:val="24"/>
        </w:rPr>
      </w:pPr>
    </w:p>
    <w:p w:rsidR="00400EF3" w:rsidRDefault="00400EF3" w:rsidP="002A4551">
      <w:pPr>
        <w:autoSpaceDE w:val="0"/>
        <w:autoSpaceDN w:val="0"/>
        <w:adjustRightInd w:val="0"/>
        <w:jc w:val="both"/>
        <w:rPr>
          <w:rFonts w:asciiTheme="majorHAnsi" w:hAnsiTheme="majorHAnsi" w:cs="HelveticaNeue-Roman"/>
          <w:sz w:val="24"/>
          <w:szCs w:val="24"/>
        </w:rPr>
      </w:pPr>
    </w:p>
    <w:p w:rsidR="00400EF3" w:rsidRDefault="00400EF3" w:rsidP="002A4551">
      <w:pPr>
        <w:autoSpaceDE w:val="0"/>
        <w:autoSpaceDN w:val="0"/>
        <w:adjustRightInd w:val="0"/>
        <w:jc w:val="both"/>
        <w:rPr>
          <w:rFonts w:asciiTheme="majorHAnsi" w:hAnsiTheme="majorHAnsi" w:cs="HelveticaNeue-Roman"/>
          <w:sz w:val="24"/>
          <w:szCs w:val="24"/>
        </w:rPr>
      </w:pPr>
    </w:p>
    <w:p w:rsidR="00400EF3" w:rsidRDefault="00400EF3" w:rsidP="002A4551">
      <w:pPr>
        <w:autoSpaceDE w:val="0"/>
        <w:autoSpaceDN w:val="0"/>
        <w:adjustRightInd w:val="0"/>
        <w:jc w:val="both"/>
        <w:rPr>
          <w:rFonts w:asciiTheme="majorHAnsi" w:hAnsiTheme="majorHAnsi" w:cs="HelveticaNeue-Roman"/>
          <w:sz w:val="24"/>
          <w:szCs w:val="24"/>
        </w:rPr>
      </w:pPr>
    </w:p>
    <w:p w:rsidR="00400EF3" w:rsidRDefault="00400EF3" w:rsidP="002A4551">
      <w:pPr>
        <w:autoSpaceDE w:val="0"/>
        <w:autoSpaceDN w:val="0"/>
        <w:adjustRightInd w:val="0"/>
        <w:jc w:val="both"/>
        <w:rPr>
          <w:rFonts w:asciiTheme="majorHAnsi" w:hAnsiTheme="majorHAnsi" w:cs="HelveticaNeue-Roman"/>
          <w:b/>
          <w:sz w:val="20"/>
          <w:szCs w:val="20"/>
        </w:rPr>
      </w:pPr>
    </w:p>
    <w:p w:rsidR="002A4551" w:rsidRPr="00167882" w:rsidRDefault="002A4551" w:rsidP="002A4551">
      <w:pPr>
        <w:autoSpaceDE w:val="0"/>
        <w:autoSpaceDN w:val="0"/>
        <w:adjustRightInd w:val="0"/>
        <w:jc w:val="both"/>
        <w:rPr>
          <w:rFonts w:asciiTheme="majorHAnsi" w:hAnsiTheme="majorHAnsi" w:cs="HelveticaNeue-Roman"/>
          <w:sz w:val="20"/>
          <w:szCs w:val="20"/>
        </w:rPr>
      </w:pPr>
      <w:r w:rsidRPr="00167882">
        <w:rPr>
          <w:rFonts w:asciiTheme="majorHAnsi" w:hAnsiTheme="majorHAnsi" w:cs="HelveticaNeue-Roman"/>
          <w:b/>
          <w:sz w:val="20"/>
          <w:szCs w:val="20"/>
        </w:rPr>
        <w:t xml:space="preserve">Figure </w:t>
      </w:r>
      <w:r w:rsidR="004227AB">
        <w:rPr>
          <w:rFonts w:asciiTheme="majorHAnsi" w:hAnsiTheme="majorHAnsi" w:cs="HelveticaNeue-Roman"/>
          <w:b/>
          <w:sz w:val="20"/>
          <w:szCs w:val="20"/>
        </w:rPr>
        <w:t>7</w:t>
      </w:r>
      <w:r w:rsidRPr="00167882">
        <w:rPr>
          <w:rFonts w:asciiTheme="majorHAnsi" w:hAnsiTheme="majorHAnsi" w:cs="HelveticaNeue-Roman"/>
          <w:sz w:val="20"/>
          <w:szCs w:val="20"/>
        </w:rPr>
        <w:t xml:space="preserve"> </w:t>
      </w:r>
      <w:r w:rsidRPr="00167882">
        <w:rPr>
          <w:rFonts w:asciiTheme="majorHAnsi" w:hAnsiTheme="majorHAnsi" w:cs="HelveticaNeue-Roman"/>
          <w:bCs/>
          <w:sz w:val="20"/>
          <w:szCs w:val="20"/>
          <w:lang w:val="en-US"/>
        </w:rPr>
        <w:t>Age Specific Death Rates 2002 and 2012</w:t>
      </w:r>
    </w:p>
    <w:p w:rsidR="000E7F0E" w:rsidRPr="00273DC5" w:rsidRDefault="000040E5" w:rsidP="001F1E92">
      <w:pPr>
        <w:pStyle w:val="Heading2"/>
        <w:rPr>
          <w:b/>
          <w:color w:val="auto"/>
        </w:rPr>
      </w:pPr>
      <w:bookmarkStart w:id="8" w:name="_Toc432886487"/>
      <w:r w:rsidRPr="00273DC5">
        <w:rPr>
          <w:b/>
          <w:color w:val="auto"/>
        </w:rPr>
        <w:t xml:space="preserve">2.2 </w:t>
      </w:r>
      <w:r w:rsidR="000E7F0E" w:rsidRPr="00273DC5">
        <w:rPr>
          <w:b/>
          <w:color w:val="auto"/>
        </w:rPr>
        <w:t>Maternal Mortality</w:t>
      </w:r>
      <w:bookmarkEnd w:id="8"/>
    </w:p>
    <w:p w:rsidR="000E7F0E" w:rsidRDefault="00400EF3" w:rsidP="00A23892">
      <w:pPr>
        <w:autoSpaceDE w:val="0"/>
        <w:autoSpaceDN w:val="0"/>
        <w:adjustRightInd w:val="0"/>
        <w:spacing w:after="0" w:line="240" w:lineRule="auto"/>
        <w:jc w:val="both"/>
        <w:rPr>
          <w:rFonts w:asciiTheme="majorHAnsi" w:hAnsiTheme="majorHAnsi"/>
          <w:sz w:val="24"/>
          <w:szCs w:val="24"/>
        </w:rPr>
      </w:pPr>
      <w:r>
        <w:rPr>
          <w:noProof/>
          <w:lang w:eastAsia="en-ZW"/>
        </w:rPr>
        <w:drawing>
          <wp:anchor distT="0" distB="0" distL="114300" distR="114300" simplePos="0" relativeHeight="251683840" behindDoc="0" locked="0" layoutInCell="1" allowOverlap="1" wp14:anchorId="225448B3" wp14:editId="1675BD31">
            <wp:simplePos x="0" y="0"/>
            <wp:positionH relativeFrom="column">
              <wp:posOffset>-635</wp:posOffset>
            </wp:positionH>
            <wp:positionV relativeFrom="paragraph">
              <wp:posOffset>628015</wp:posOffset>
            </wp:positionV>
            <wp:extent cx="4657725" cy="2438400"/>
            <wp:effectExtent l="0" t="0" r="9525"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0E7F0E" w:rsidRPr="00167882">
        <w:rPr>
          <w:rFonts w:asciiTheme="majorHAnsi" w:hAnsiTheme="majorHAnsi" w:cs="HelveticaNeue-Roman"/>
          <w:sz w:val="24"/>
          <w:szCs w:val="24"/>
        </w:rPr>
        <w:t xml:space="preserve">Maternal mortality is measured by the Maternal Mortality Ratio, which is the number of </w:t>
      </w:r>
      <w:r w:rsidR="000E7F0E" w:rsidRPr="00167882">
        <w:rPr>
          <w:rFonts w:asciiTheme="majorHAnsi" w:hAnsiTheme="majorHAnsi" w:cs="Arial"/>
          <w:sz w:val="24"/>
          <w:szCs w:val="24"/>
        </w:rPr>
        <w:t>maternal deaths per 100,000 live birth</w:t>
      </w:r>
      <w:r w:rsidR="002A4551" w:rsidRPr="00167882">
        <w:rPr>
          <w:rFonts w:asciiTheme="majorHAnsi" w:hAnsiTheme="majorHAnsi" w:cs="Arial"/>
          <w:sz w:val="24"/>
          <w:szCs w:val="24"/>
        </w:rPr>
        <w:t>s</w:t>
      </w:r>
      <w:r w:rsidR="000E7F0E" w:rsidRPr="00167882">
        <w:rPr>
          <w:rFonts w:asciiTheme="majorHAnsi" w:hAnsiTheme="majorHAnsi" w:cs="Arial"/>
          <w:sz w:val="24"/>
          <w:szCs w:val="24"/>
        </w:rPr>
        <w:t xml:space="preserve">. </w:t>
      </w:r>
      <w:r w:rsidR="000E7F0E" w:rsidRPr="00167882">
        <w:rPr>
          <w:rFonts w:asciiTheme="majorHAnsi" w:hAnsiTheme="majorHAnsi"/>
          <w:sz w:val="24"/>
          <w:szCs w:val="24"/>
        </w:rPr>
        <w:t xml:space="preserve">The age-pattern of maternal mortality depicts high maternal mortality among teenagers (525 for those aged 15-19 years) and women above 40 years, 1108 among women aged 40-44 years and 2367 among those aged 45-49 years. This shows that it is very risky to give birth at very young ages and at older ages. </w:t>
      </w:r>
    </w:p>
    <w:p w:rsidR="00600113" w:rsidRDefault="00600113" w:rsidP="00A23892">
      <w:pPr>
        <w:autoSpaceDE w:val="0"/>
        <w:autoSpaceDN w:val="0"/>
        <w:adjustRightInd w:val="0"/>
        <w:spacing w:after="0" w:line="240" w:lineRule="auto"/>
        <w:jc w:val="both"/>
        <w:rPr>
          <w:rFonts w:asciiTheme="majorHAnsi" w:hAnsiTheme="majorHAnsi"/>
          <w:sz w:val="24"/>
          <w:szCs w:val="24"/>
        </w:rPr>
      </w:pPr>
    </w:p>
    <w:p w:rsidR="00400EF3" w:rsidRPr="00400EF3" w:rsidRDefault="00400EF3" w:rsidP="00A23892">
      <w:pPr>
        <w:autoSpaceDE w:val="0"/>
        <w:autoSpaceDN w:val="0"/>
        <w:adjustRightInd w:val="0"/>
        <w:spacing w:after="0" w:line="240" w:lineRule="auto"/>
        <w:rPr>
          <w:rFonts w:asciiTheme="majorHAnsi" w:hAnsiTheme="majorHAnsi" w:cs="HelveticaNeue-Roman"/>
          <w:b/>
          <w:sz w:val="20"/>
          <w:szCs w:val="20"/>
        </w:rPr>
      </w:pPr>
      <w:r w:rsidRPr="00400EF3">
        <w:rPr>
          <w:rFonts w:asciiTheme="majorHAnsi" w:hAnsiTheme="majorHAnsi" w:cs="HelveticaNeue-Roman"/>
          <w:b/>
          <w:sz w:val="20"/>
          <w:szCs w:val="20"/>
        </w:rPr>
        <w:t xml:space="preserve">Figure </w:t>
      </w:r>
      <w:r w:rsidR="004227AB">
        <w:rPr>
          <w:rFonts w:asciiTheme="majorHAnsi" w:hAnsiTheme="majorHAnsi" w:cs="HelveticaNeue-Roman"/>
          <w:b/>
          <w:sz w:val="20"/>
          <w:szCs w:val="20"/>
        </w:rPr>
        <w:t>8</w:t>
      </w:r>
      <w:r w:rsidRPr="00400EF3">
        <w:rPr>
          <w:rFonts w:asciiTheme="majorHAnsi" w:hAnsiTheme="majorHAnsi" w:cs="HelveticaNeue-Roman"/>
          <w:b/>
          <w:sz w:val="20"/>
          <w:szCs w:val="20"/>
        </w:rPr>
        <w:t xml:space="preserve"> </w:t>
      </w:r>
      <w:r w:rsidRPr="004227AB">
        <w:rPr>
          <w:rFonts w:asciiTheme="majorHAnsi" w:hAnsiTheme="majorHAnsi" w:cs="HelveticaNeue-Roman"/>
          <w:sz w:val="20"/>
          <w:szCs w:val="20"/>
        </w:rPr>
        <w:t>Maternal Mortality Ratio by Age Group</w:t>
      </w:r>
    </w:p>
    <w:p w:rsidR="00400EF3" w:rsidRDefault="00400EF3" w:rsidP="00A23892">
      <w:pPr>
        <w:autoSpaceDE w:val="0"/>
        <w:autoSpaceDN w:val="0"/>
        <w:adjustRightInd w:val="0"/>
        <w:spacing w:after="0" w:line="240" w:lineRule="auto"/>
        <w:rPr>
          <w:rFonts w:asciiTheme="majorHAnsi" w:hAnsiTheme="majorHAnsi" w:cs="HelveticaNeue-Roman"/>
          <w:sz w:val="20"/>
          <w:szCs w:val="20"/>
        </w:rPr>
      </w:pPr>
    </w:p>
    <w:p w:rsidR="00400EF3" w:rsidRPr="006502FE" w:rsidRDefault="00400EF3" w:rsidP="00A23892">
      <w:pPr>
        <w:autoSpaceDE w:val="0"/>
        <w:autoSpaceDN w:val="0"/>
        <w:adjustRightInd w:val="0"/>
        <w:spacing w:after="0" w:line="240" w:lineRule="auto"/>
        <w:rPr>
          <w:rFonts w:asciiTheme="majorHAnsi" w:hAnsiTheme="majorHAnsi" w:cs="HelveticaNeue-Roman"/>
          <w:sz w:val="20"/>
          <w:szCs w:val="20"/>
          <w14:textOutline w14:w="9525" w14:cap="rnd" w14:cmpd="sng" w14:algn="ctr">
            <w14:noFill/>
            <w14:prstDash w14:val="solid"/>
            <w14:bevel/>
          </w14:textOutline>
        </w:rPr>
      </w:pPr>
    </w:p>
    <w:p w:rsidR="000E7F0E" w:rsidRDefault="00182524" w:rsidP="00A23892">
      <w:pPr>
        <w:autoSpaceDE w:val="0"/>
        <w:autoSpaceDN w:val="0"/>
        <w:adjustRightInd w:val="0"/>
        <w:spacing w:after="0" w:line="240" w:lineRule="auto"/>
        <w:jc w:val="both"/>
        <w:rPr>
          <w:rFonts w:asciiTheme="majorHAnsi" w:hAnsiTheme="majorHAnsi" w:cs="HelveticaNeue-Roman"/>
          <w:sz w:val="24"/>
          <w:szCs w:val="24"/>
        </w:rPr>
      </w:pPr>
      <w:r w:rsidRPr="00167882">
        <w:rPr>
          <w:rFonts w:asciiTheme="majorHAnsi" w:hAnsiTheme="majorHAnsi"/>
          <w:noProof/>
          <w:sz w:val="24"/>
          <w:szCs w:val="24"/>
          <w:lang w:eastAsia="en-ZW"/>
        </w:rPr>
        <w:lastRenderedPageBreak/>
        <w:drawing>
          <wp:anchor distT="0" distB="0" distL="114300" distR="114300" simplePos="0" relativeHeight="251678720" behindDoc="0" locked="0" layoutInCell="1" allowOverlap="1" wp14:anchorId="4B035CA4" wp14:editId="5B05DB4A">
            <wp:simplePos x="0" y="0"/>
            <wp:positionH relativeFrom="column">
              <wp:posOffset>28575</wp:posOffset>
            </wp:positionH>
            <wp:positionV relativeFrom="paragraph">
              <wp:posOffset>591185</wp:posOffset>
            </wp:positionV>
            <wp:extent cx="4152900" cy="2838450"/>
            <wp:effectExtent l="0" t="0" r="0" b="0"/>
            <wp:wrapSquare wrapText="bothSides"/>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000E7F0E" w:rsidRPr="00167882">
        <w:rPr>
          <w:rFonts w:asciiTheme="majorHAnsi" w:hAnsiTheme="majorHAnsi" w:cs="HelveticaNeue-Roman"/>
          <w:sz w:val="24"/>
          <w:szCs w:val="24"/>
        </w:rPr>
        <w:t xml:space="preserve">The overall MMR improved by 50% during the inter census period 2002 to 2012. Mashonaland East province registered the most improvement of 60%. Variations by province is also evident with Matabeleland South having the highest MMR of 694 and Harare with the lowest of 379. Just like the general mortality in the population, the decline in maternal mortality is linked to improvements in the HIV and AIDS condition and possibly to improved access to health services after the economy </w:t>
      </w:r>
      <w:proofErr w:type="spellStart"/>
      <w:r w:rsidR="000E7F0E" w:rsidRPr="00167882">
        <w:rPr>
          <w:rFonts w:asciiTheme="majorHAnsi" w:hAnsiTheme="majorHAnsi" w:cs="HelveticaNeue-Roman"/>
          <w:sz w:val="24"/>
          <w:szCs w:val="24"/>
        </w:rPr>
        <w:t>dollarised</w:t>
      </w:r>
      <w:proofErr w:type="spellEnd"/>
      <w:r w:rsidR="000E7F0E" w:rsidRPr="00167882">
        <w:rPr>
          <w:rFonts w:asciiTheme="majorHAnsi" w:hAnsiTheme="majorHAnsi" w:cs="HelveticaNeue-Roman"/>
          <w:sz w:val="24"/>
          <w:szCs w:val="24"/>
        </w:rPr>
        <w:t>.</w:t>
      </w:r>
      <w:r w:rsidR="003852C2">
        <w:rPr>
          <w:rFonts w:asciiTheme="majorHAnsi" w:hAnsiTheme="majorHAnsi" w:cs="HelveticaNeue-Roman"/>
          <w:sz w:val="24"/>
          <w:szCs w:val="24"/>
        </w:rPr>
        <w:t xml:space="preserve"> However, the MMR remains high and falls short of the MDG target of </w:t>
      </w:r>
      <w:r w:rsidR="003852C2" w:rsidRPr="00167882">
        <w:rPr>
          <w:rFonts w:asciiTheme="majorHAnsi" w:hAnsiTheme="majorHAnsi" w:cs="HelveticaNeue-Roman"/>
          <w:sz w:val="24"/>
          <w:szCs w:val="24"/>
        </w:rPr>
        <w:t>174.</w:t>
      </w:r>
    </w:p>
    <w:p w:rsidR="004227AB" w:rsidRDefault="004227AB" w:rsidP="00A23892">
      <w:pPr>
        <w:autoSpaceDE w:val="0"/>
        <w:autoSpaceDN w:val="0"/>
        <w:adjustRightInd w:val="0"/>
        <w:spacing w:after="0" w:line="240" w:lineRule="auto"/>
        <w:jc w:val="both"/>
        <w:rPr>
          <w:rFonts w:asciiTheme="majorHAnsi" w:hAnsiTheme="majorHAnsi" w:cs="HelveticaNeue-Roman"/>
          <w:b/>
          <w:sz w:val="20"/>
          <w:szCs w:val="20"/>
        </w:rPr>
      </w:pPr>
    </w:p>
    <w:p w:rsidR="00182524" w:rsidRDefault="00182524" w:rsidP="00A23892">
      <w:pPr>
        <w:autoSpaceDE w:val="0"/>
        <w:autoSpaceDN w:val="0"/>
        <w:adjustRightInd w:val="0"/>
        <w:spacing w:after="0" w:line="240" w:lineRule="auto"/>
        <w:jc w:val="both"/>
        <w:rPr>
          <w:rFonts w:asciiTheme="majorHAnsi" w:hAnsiTheme="majorHAnsi" w:cs="HelveticaNeue-Roman"/>
          <w:sz w:val="24"/>
          <w:szCs w:val="24"/>
        </w:rPr>
      </w:pPr>
      <w:r w:rsidRPr="00167882">
        <w:rPr>
          <w:rFonts w:asciiTheme="majorHAnsi" w:hAnsiTheme="majorHAnsi" w:cs="HelveticaNeue-Roman"/>
          <w:b/>
          <w:sz w:val="20"/>
          <w:szCs w:val="20"/>
        </w:rPr>
        <w:t xml:space="preserve">Figure </w:t>
      </w:r>
      <w:r w:rsidR="004227AB">
        <w:rPr>
          <w:rFonts w:asciiTheme="majorHAnsi" w:hAnsiTheme="majorHAnsi" w:cs="HelveticaNeue-Roman"/>
          <w:b/>
          <w:sz w:val="20"/>
          <w:szCs w:val="20"/>
        </w:rPr>
        <w:t>9</w:t>
      </w:r>
      <w:r w:rsidRPr="00167882">
        <w:rPr>
          <w:rFonts w:asciiTheme="majorHAnsi" w:hAnsiTheme="majorHAnsi" w:cs="HelveticaNeue-Roman"/>
          <w:sz w:val="20"/>
          <w:szCs w:val="20"/>
        </w:rPr>
        <w:t xml:space="preserve"> Maternal mortality ratios by province, Zimbabwe 2002 and 2012 censuses</w:t>
      </w:r>
    </w:p>
    <w:p w:rsidR="00182524" w:rsidRDefault="00182524" w:rsidP="00A23892">
      <w:pPr>
        <w:autoSpaceDE w:val="0"/>
        <w:autoSpaceDN w:val="0"/>
        <w:adjustRightInd w:val="0"/>
        <w:spacing w:after="0" w:line="240" w:lineRule="auto"/>
        <w:jc w:val="both"/>
        <w:rPr>
          <w:rFonts w:asciiTheme="majorHAnsi" w:hAnsiTheme="majorHAnsi" w:cs="HelveticaNeue-Roman"/>
          <w:sz w:val="24"/>
          <w:szCs w:val="24"/>
        </w:rPr>
      </w:pPr>
    </w:p>
    <w:p w:rsidR="000E7F0E" w:rsidRPr="00273DC5" w:rsidRDefault="000040E5" w:rsidP="001F1E92">
      <w:pPr>
        <w:pStyle w:val="Heading2"/>
        <w:rPr>
          <w:b/>
          <w:color w:val="auto"/>
        </w:rPr>
      </w:pPr>
      <w:bookmarkStart w:id="9" w:name="_Toc432886489"/>
      <w:r w:rsidRPr="00273DC5">
        <w:rPr>
          <w:b/>
          <w:color w:val="auto"/>
        </w:rPr>
        <w:t xml:space="preserve">2.4 </w:t>
      </w:r>
      <w:r w:rsidR="000E7F0E" w:rsidRPr="00273DC5">
        <w:rPr>
          <w:b/>
          <w:color w:val="auto"/>
        </w:rPr>
        <w:t>Childhood Mortality</w:t>
      </w:r>
      <w:bookmarkEnd w:id="9"/>
    </w:p>
    <w:p w:rsidR="000E7F0E" w:rsidRPr="00167882" w:rsidRDefault="00182524" w:rsidP="00A23892">
      <w:pPr>
        <w:autoSpaceDE w:val="0"/>
        <w:autoSpaceDN w:val="0"/>
        <w:adjustRightInd w:val="0"/>
        <w:spacing w:after="0" w:line="240" w:lineRule="auto"/>
        <w:rPr>
          <w:rFonts w:asciiTheme="majorHAnsi" w:hAnsiTheme="majorHAnsi" w:cs="HelveticaNeue-Roman"/>
          <w:sz w:val="24"/>
          <w:szCs w:val="24"/>
        </w:rPr>
      </w:pPr>
      <w:r w:rsidRPr="00167882">
        <w:rPr>
          <w:rFonts w:asciiTheme="majorHAnsi" w:hAnsiTheme="majorHAnsi"/>
          <w:noProof/>
          <w:sz w:val="24"/>
          <w:szCs w:val="24"/>
          <w:lang w:eastAsia="en-ZW"/>
        </w:rPr>
        <w:drawing>
          <wp:anchor distT="0" distB="0" distL="114300" distR="114300" simplePos="0" relativeHeight="251677696" behindDoc="0" locked="0" layoutInCell="1" allowOverlap="1" wp14:anchorId="1344A079" wp14:editId="4ACCEF5D">
            <wp:simplePos x="0" y="0"/>
            <wp:positionH relativeFrom="column">
              <wp:posOffset>28575</wp:posOffset>
            </wp:positionH>
            <wp:positionV relativeFrom="paragraph">
              <wp:posOffset>443865</wp:posOffset>
            </wp:positionV>
            <wp:extent cx="4743450" cy="2705100"/>
            <wp:effectExtent l="0" t="0" r="0" b="0"/>
            <wp:wrapSquare wrapText="bothSides"/>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0E7F0E" w:rsidRPr="00167882">
        <w:rPr>
          <w:rFonts w:asciiTheme="majorHAnsi" w:hAnsiTheme="majorHAnsi" w:cs="HelveticaNeue-Roman"/>
          <w:sz w:val="24"/>
          <w:szCs w:val="24"/>
        </w:rPr>
        <w:t xml:space="preserve">The 2012 Population census shows that from 1997 to 2008 childhood mortality increased albeit within a very narrow range.  This trend mimics that of the death rates in the general population as explained by the impact of HIV and AIDS and the harsh economic conditions that prevailed during the latter half of the first decade of the millennium.   </w:t>
      </w:r>
    </w:p>
    <w:p w:rsidR="000E7F0E" w:rsidRDefault="000E7F0E" w:rsidP="00A23892">
      <w:pPr>
        <w:autoSpaceDE w:val="0"/>
        <w:autoSpaceDN w:val="0"/>
        <w:adjustRightInd w:val="0"/>
        <w:spacing w:after="0" w:line="240" w:lineRule="auto"/>
        <w:rPr>
          <w:rFonts w:asciiTheme="majorHAnsi" w:hAnsiTheme="majorHAnsi" w:cs="HelveticaNeue-Roman"/>
          <w:sz w:val="24"/>
          <w:szCs w:val="24"/>
        </w:rPr>
      </w:pPr>
    </w:p>
    <w:p w:rsidR="000E7F0E" w:rsidRPr="00167882" w:rsidRDefault="00182524" w:rsidP="00D73496">
      <w:pPr>
        <w:spacing w:after="0" w:line="240" w:lineRule="auto"/>
        <w:rPr>
          <w:rFonts w:asciiTheme="majorHAnsi" w:hAnsiTheme="majorHAnsi" w:cs="HelveticaNeue-Roman"/>
          <w:sz w:val="20"/>
          <w:szCs w:val="20"/>
        </w:rPr>
      </w:pPr>
      <w:r>
        <w:rPr>
          <w:rFonts w:asciiTheme="majorHAnsi" w:hAnsiTheme="majorHAnsi" w:cs="HelveticaNeue-Roman"/>
          <w:sz w:val="20"/>
          <w:szCs w:val="20"/>
        </w:rPr>
        <w:t xml:space="preserve"> </w:t>
      </w:r>
      <w:r w:rsidR="004227AB" w:rsidRPr="004227AB">
        <w:rPr>
          <w:rFonts w:asciiTheme="majorHAnsi" w:hAnsiTheme="majorHAnsi" w:cs="HelveticaNeue-Roman"/>
          <w:b/>
          <w:sz w:val="20"/>
          <w:szCs w:val="20"/>
        </w:rPr>
        <w:t>Figure 10</w:t>
      </w:r>
      <w:r w:rsidR="004227AB">
        <w:rPr>
          <w:rFonts w:asciiTheme="majorHAnsi" w:hAnsiTheme="majorHAnsi" w:cs="HelveticaNeue-Roman"/>
          <w:sz w:val="20"/>
          <w:szCs w:val="20"/>
        </w:rPr>
        <w:t xml:space="preserve"> </w:t>
      </w:r>
      <w:r w:rsidR="004227AB" w:rsidRPr="004227AB">
        <w:rPr>
          <w:rFonts w:asciiTheme="majorHAnsi" w:hAnsiTheme="majorHAnsi" w:cs="HelveticaNeue-Roman"/>
          <w:sz w:val="20"/>
          <w:szCs w:val="20"/>
        </w:rPr>
        <w:t>Childhood Mortality in Zimbabwe</w:t>
      </w:r>
    </w:p>
    <w:p w:rsidR="00D73496" w:rsidRDefault="00D73496" w:rsidP="00A23892">
      <w:pPr>
        <w:spacing w:after="0" w:line="240" w:lineRule="auto"/>
        <w:rPr>
          <w:rFonts w:asciiTheme="majorHAnsi" w:hAnsiTheme="majorHAnsi" w:cs="Arial"/>
          <w:sz w:val="24"/>
          <w:szCs w:val="24"/>
        </w:rPr>
      </w:pPr>
    </w:p>
    <w:p w:rsidR="003852C2" w:rsidRDefault="000E7F0E" w:rsidP="003852C2">
      <w:pPr>
        <w:spacing w:after="0" w:line="240" w:lineRule="auto"/>
        <w:jc w:val="both"/>
        <w:rPr>
          <w:rFonts w:asciiTheme="majorHAnsi" w:hAnsiTheme="majorHAnsi" w:cs="Tahoma"/>
          <w:sz w:val="24"/>
          <w:szCs w:val="24"/>
        </w:rPr>
      </w:pPr>
      <w:r w:rsidRPr="00167882">
        <w:rPr>
          <w:rFonts w:asciiTheme="majorHAnsi" w:hAnsiTheme="majorHAnsi" w:cs="Arial"/>
          <w:sz w:val="24"/>
          <w:szCs w:val="24"/>
        </w:rPr>
        <w:t xml:space="preserve">Under 5 mortality </w:t>
      </w:r>
      <w:r w:rsidR="003852C2">
        <w:rPr>
          <w:rFonts w:asciiTheme="majorHAnsi" w:hAnsiTheme="majorHAnsi" w:cs="Arial"/>
          <w:sz w:val="24"/>
          <w:szCs w:val="24"/>
        </w:rPr>
        <w:t>rate</w:t>
      </w:r>
      <w:r w:rsidRPr="00167882">
        <w:rPr>
          <w:rFonts w:asciiTheme="majorHAnsi" w:hAnsiTheme="majorHAnsi" w:cs="Arial"/>
          <w:sz w:val="24"/>
          <w:szCs w:val="24"/>
        </w:rPr>
        <w:t xml:space="preserve"> is </w:t>
      </w:r>
      <w:r w:rsidR="003852C2">
        <w:rPr>
          <w:rFonts w:asciiTheme="majorHAnsi" w:hAnsiTheme="majorHAnsi" w:cs="Arial"/>
          <w:sz w:val="24"/>
          <w:szCs w:val="24"/>
        </w:rPr>
        <w:t xml:space="preserve">generally </w:t>
      </w:r>
      <w:r w:rsidRPr="00167882">
        <w:rPr>
          <w:rFonts w:asciiTheme="majorHAnsi" w:hAnsiTheme="majorHAnsi" w:cs="Arial"/>
          <w:sz w:val="24"/>
          <w:szCs w:val="24"/>
        </w:rPr>
        <w:t xml:space="preserve">used </w:t>
      </w:r>
      <w:r w:rsidR="003852C2">
        <w:rPr>
          <w:rFonts w:asciiTheme="majorHAnsi" w:hAnsiTheme="majorHAnsi" w:cs="Arial"/>
          <w:sz w:val="24"/>
          <w:szCs w:val="24"/>
        </w:rPr>
        <w:t>as a</w:t>
      </w:r>
      <w:r w:rsidRPr="00167882">
        <w:rPr>
          <w:rFonts w:asciiTheme="majorHAnsi" w:hAnsiTheme="majorHAnsi" w:cs="Arial"/>
          <w:sz w:val="24"/>
          <w:szCs w:val="24"/>
        </w:rPr>
        <w:t xml:space="preserve"> measure </w:t>
      </w:r>
      <w:r w:rsidR="00400EF3">
        <w:rPr>
          <w:rFonts w:asciiTheme="majorHAnsi" w:hAnsiTheme="majorHAnsi" w:cs="Arial"/>
          <w:sz w:val="24"/>
          <w:szCs w:val="24"/>
        </w:rPr>
        <w:t xml:space="preserve">of </w:t>
      </w:r>
      <w:r w:rsidRPr="00167882">
        <w:rPr>
          <w:rFonts w:asciiTheme="majorHAnsi" w:hAnsiTheme="majorHAnsi" w:cs="Arial"/>
          <w:sz w:val="24"/>
          <w:szCs w:val="24"/>
        </w:rPr>
        <w:t xml:space="preserve">mortality in childhood because of its insensitivity to the pattern of mortality. </w:t>
      </w:r>
      <w:r w:rsidR="003852C2" w:rsidRPr="00167882">
        <w:rPr>
          <w:rFonts w:asciiTheme="majorHAnsi" w:hAnsiTheme="majorHAnsi" w:cs="Arial"/>
          <w:sz w:val="24"/>
          <w:szCs w:val="24"/>
        </w:rPr>
        <w:t xml:space="preserve">While there is a great deal of disparity in the estimated rates for some overlapping periods in certain cases, there is a fairly good agreement among the various estimates that under-five mortality has been declining in Zimbabwe during the past three decades. While the declining trend is apparent up to the mid-1990s, it starts to increase thereafter due to the impact of HIV and AIDS on the population and the general deterioration </w:t>
      </w:r>
      <w:r w:rsidR="003852C2" w:rsidRPr="00167882">
        <w:rPr>
          <w:rFonts w:asciiTheme="majorHAnsi" w:hAnsiTheme="majorHAnsi" w:cs="Arial"/>
          <w:sz w:val="24"/>
          <w:szCs w:val="24"/>
        </w:rPr>
        <w:lastRenderedPageBreak/>
        <w:t xml:space="preserve">of health services during the hyperinflationary period </w:t>
      </w:r>
      <w:r w:rsidR="003852C2" w:rsidRPr="00167882">
        <w:rPr>
          <w:rFonts w:asciiTheme="majorHAnsi" w:hAnsiTheme="majorHAnsi" w:cs="Tahoma"/>
          <w:sz w:val="24"/>
          <w:szCs w:val="24"/>
        </w:rPr>
        <w:t xml:space="preserve">when the health sector suffered from a </w:t>
      </w:r>
      <w:r w:rsidR="006502FE" w:rsidRPr="00167882">
        <w:rPr>
          <w:rFonts w:asciiTheme="majorHAnsi" w:hAnsiTheme="majorHAnsi"/>
          <w:noProof/>
          <w:sz w:val="24"/>
          <w:szCs w:val="24"/>
          <w:lang w:eastAsia="en-ZW"/>
        </w:rPr>
        <w:drawing>
          <wp:anchor distT="0" distB="0" distL="114300" distR="114300" simplePos="0" relativeHeight="251686912" behindDoc="0" locked="0" layoutInCell="1" allowOverlap="1" wp14:anchorId="3560F33D" wp14:editId="636040F4">
            <wp:simplePos x="0" y="0"/>
            <wp:positionH relativeFrom="column">
              <wp:posOffset>0</wp:posOffset>
            </wp:positionH>
            <wp:positionV relativeFrom="paragraph">
              <wp:posOffset>343535</wp:posOffset>
            </wp:positionV>
            <wp:extent cx="4314825" cy="3361690"/>
            <wp:effectExtent l="0" t="0" r="9525" b="10160"/>
            <wp:wrapSquare wrapText="bothSides"/>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sidR="003852C2" w:rsidRPr="00167882">
        <w:rPr>
          <w:rFonts w:asciiTheme="majorHAnsi" w:hAnsiTheme="majorHAnsi" w:cs="Tahoma"/>
          <w:sz w:val="24"/>
          <w:szCs w:val="24"/>
        </w:rPr>
        <w:t>lack of resources and a shortage of staff.</w:t>
      </w:r>
    </w:p>
    <w:p w:rsidR="006502FE" w:rsidRDefault="006502FE" w:rsidP="003852C2">
      <w:pPr>
        <w:spacing w:after="0" w:line="240" w:lineRule="auto"/>
        <w:jc w:val="both"/>
        <w:rPr>
          <w:rFonts w:asciiTheme="majorHAnsi" w:hAnsiTheme="majorHAnsi" w:cs="Tahoma"/>
          <w:sz w:val="24"/>
          <w:szCs w:val="24"/>
        </w:rPr>
      </w:pPr>
    </w:p>
    <w:p w:rsidR="006502FE" w:rsidRDefault="006502FE" w:rsidP="003852C2">
      <w:pPr>
        <w:spacing w:after="0" w:line="240" w:lineRule="auto"/>
        <w:jc w:val="both"/>
        <w:rPr>
          <w:rFonts w:asciiTheme="majorHAnsi" w:hAnsiTheme="majorHAnsi" w:cs="Tahoma"/>
          <w:sz w:val="24"/>
          <w:szCs w:val="24"/>
        </w:rPr>
      </w:pPr>
    </w:p>
    <w:p w:rsidR="006502FE" w:rsidRDefault="006502FE" w:rsidP="003852C2">
      <w:pPr>
        <w:spacing w:after="0" w:line="240" w:lineRule="auto"/>
        <w:jc w:val="both"/>
        <w:rPr>
          <w:rFonts w:asciiTheme="majorHAnsi" w:hAnsiTheme="majorHAnsi" w:cs="Tahoma"/>
          <w:sz w:val="24"/>
          <w:szCs w:val="24"/>
        </w:rPr>
      </w:pPr>
    </w:p>
    <w:p w:rsidR="006502FE" w:rsidRDefault="006502FE" w:rsidP="003852C2">
      <w:pPr>
        <w:spacing w:after="0" w:line="240" w:lineRule="auto"/>
        <w:jc w:val="both"/>
        <w:rPr>
          <w:rFonts w:asciiTheme="majorHAnsi" w:hAnsiTheme="majorHAnsi" w:cs="Tahoma"/>
          <w:sz w:val="24"/>
          <w:szCs w:val="24"/>
        </w:rPr>
      </w:pPr>
    </w:p>
    <w:p w:rsidR="006502FE" w:rsidRDefault="006502FE" w:rsidP="003852C2">
      <w:pPr>
        <w:spacing w:after="0" w:line="240" w:lineRule="auto"/>
        <w:jc w:val="both"/>
        <w:rPr>
          <w:rFonts w:asciiTheme="majorHAnsi" w:hAnsiTheme="majorHAnsi" w:cs="Tahoma"/>
          <w:sz w:val="24"/>
          <w:szCs w:val="24"/>
        </w:rPr>
      </w:pPr>
    </w:p>
    <w:p w:rsidR="006502FE" w:rsidRDefault="006502FE" w:rsidP="003852C2">
      <w:pPr>
        <w:spacing w:after="0" w:line="240" w:lineRule="auto"/>
        <w:jc w:val="both"/>
        <w:rPr>
          <w:rFonts w:asciiTheme="majorHAnsi" w:hAnsiTheme="majorHAnsi" w:cs="Tahoma"/>
          <w:sz w:val="24"/>
          <w:szCs w:val="24"/>
        </w:rPr>
      </w:pPr>
    </w:p>
    <w:p w:rsidR="006502FE" w:rsidRDefault="006502FE" w:rsidP="003852C2">
      <w:pPr>
        <w:spacing w:after="0" w:line="240" w:lineRule="auto"/>
        <w:jc w:val="both"/>
        <w:rPr>
          <w:rFonts w:asciiTheme="majorHAnsi" w:hAnsiTheme="majorHAnsi" w:cs="Tahoma"/>
          <w:sz w:val="24"/>
          <w:szCs w:val="24"/>
        </w:rPr>
      </w:pPr>
    </w:p>
    <w:p w:rsidR="006502FE" w:rsidRDefault="006502FE" w:rsidP="003852C2">
      <w:pPr>
        <w:spacing w:after="0" w:line="240" w:lineRule="auto"/>
        <w:jc w:val="both"/>
        <w:rPr>
          <w:rFonts w:asciiTheme="majorHAnsi" w:hAnsiTheme="majorHAnsi" w:cs="Tahoma"/>
          <w:sz w:val="24"/>
          <w:szCs w:val="24"/>
        </w:rPr>
      </w:pPr>
    </w:p>
    <w:p w:rsidR="006502FE" w:rsidRDefault="006502FE" w:rsidP="003852C2">
      <w:pPr>
        <w:spacing w:after="0" w:line="240" w:lineRule="auto"/>
        <w:jc w:val="both"/>
        <w:rPr>
          <w:rFonts w:asciiTheme="majorHAnsi" w:hAnsiTheme="majorHAnsi" w:cs="Tahoma"/>
          <w:sz w:val="24"/>
          <w:szCs w:val="24"/>
        </w:rPr>
      </w:pPr>
    </w:p>
    <w:p w:rsidR="006502FE" w:rsidRDefault="006502FE" w:rsidP="003852C2">
      <w:pPr>
        <w:spacing w:after="0" w:line="240" w:lineRule="auto"/>
        <w:jc w:val="both"/>
        <w:rPr>
          <w:rFonts w:asciiTheme="majorHAnsi" w:hAnsiTheme="majorHAnsi" w:cs="Tahoma"/>
          <w:sz w:val="24"/>
          <w:szCs w:val="24"/>
        </w:rPr>
      </w:pPr>
    </w:p>
    <w:p w:rsidR="006502FE" w:rsidRDefault="006502FE" w:rsidP="003852C2">
      <w:pPr>
        <w:spacing w:after="0" w:line="240" w:lineRule="auto"/>
        <w:jc w:val="both"/>
        <w:rPr>
          <w:rFonts w:asciiTheme="majorHAnsi" w:hAnsiTheme="majorHAnsi" w:cs="Tahoma"/>
          <w:sz w:val="24"/>
          <w:szCs w:val="24"/>
        </w:rPr>
      </w:pPr>
    </w:p>
    <w:p w:rsidR="006502FE" w:rsidRDefault="006502FE" w:rsidP="003852C2">
      <w:pPr>
        <w:spacing w:after="0" w:line="240" w:lineRule="auto"/>
        <w:jc w:val="both"/>
        <w:rPr>
          <w:rFonts w:asciiTheme="majorHAnsi" w:hAnsiTheme="majorHAnsi" w:cs="Tahoma"/>
          <w:sz w:val="24"/>
          <w:szCs w:val="24"/>
        </w:rPr>
      </w:pPr>
    </w:p>
    <w:p w:rsidR="006502FE" w:rsidRDefault="006502FE" w:rsidP="003852C2">
      <w:pPr>
        <w:spacing w:after="0" w:line="240" w:lineRule="auto"/>
        <w:jc w:val="both"/>
        <w:rPr>
          <w:rFonts w:asciiTheme="majorHAnsi" w:hAnsiTheme="majorHAnsi" w:cs="Tahoma"/>
          <w:sz w:val="24"/>
          <w:szCs w:val="24"/>
        </w:rPr>
      </w:pPr>
    </w:p>
    <w:p w:rsidR="006502FE" w:rsidRDefault="006502FE" w:rsidP="003852C2">
      <w:pPr>
        <w:spacing w:after="0" w:line="240" w:lineRule="auto"/>
        <w:jc w:val="both"/>
        <w:rPr>
          <w:rFonts w:asciiTheme="majorHAnsi" w:hAnsiTheme="majorHAnsi" w:cs="Tahoma"/>
          <w:sz w:val="24"/>
          <w:szCs w:val="24"/>
        </w:rPr>
      </w:pPr>
    </w:p>
    <w:p w:rsidR="006502FE" w:rsidRDefault="006502FE" w:rsidP="003852C2">
      <w:pPr>
        <w:spacing w:after="0" w:line="240" w:lineRule="auto"/>
        <w:jc w:val="both"/>
        <w:rPr>
          <w:rFonts w:asciiTheme="majorHAnsi" w:hAnsiTheme="majorHAnsi" w:cs="Tahoma"/>
          <w:sz w:val="24"/>
          <w:szCs w:val="24"/>
        </w:rPr>
      </w:pPr>
    </w:p>
    <w:p w:rsidR="006502FE" w:rsidRDefault="006502FE" w:rsidP="003852C2">
      <w:pPr>
        <w:spacing w:after="0" w:line="240" w:lineRule="auto"/>
        <w:jc w:val="both"/>
        <w:rPr>
          <w:rFonts w:asciiTheme="majorHAnsi" w:hAnsiTheme="majorHAnsi" w:cs="Tahoma"/>
          <w:sz w:val="24"/>
          <w:szCs w:val="24"/>
        </w:rPr>
      </w:pPr>
    </w:p>
    <w:p w:rsidR="006502FE" w:rsidRPr="00167882" w:rsidRDefault="006502FE" w:rsidP="003852C2">
      <w:pPr>
        <w:spacing w:after="0" w:line="240" w:lineRule="auto"/>
        <w:jc w:val="both"/>
        <w:rPr>
          <w:rFonts w:asciiTheme="majorHAnsi" w:hAnsiTheme="majorHAnsi" w:cs="Arial"/>
          <w:sz w:val="24"/>
          <w:szCs w:val="24"/>
        </w:rPr>
      </w:pPr>
    </w:p>
    <w:p w:rsidR="0010326F" w:rsidRPr="00167882" w:rsidRDefault="0010326F" w:rsidP="00A23892">
      <w:pPr>
        <w:spacing w:after="0" w:line="240" w:lineRule="auto"/>
        <w:jc w:val="both"/>
        <w:rPr>
          <w:rFonts w:asciiTheme="majorHAnsi" w:hAnsiTheme="majorHAnsi" w:cs="Arial"/>
          <w:sz w:val="20"/>
          <w:szCs w:val="20"/>
        </w:rPr>
      </w:pPr>
      <w:r w:rsidRPr="00167882">
        <w:rPr>
          <w:rFonts w:asciiTheme="majorHAnsi" w:hAnsiTheme="majorHAnsi" w:cs="Arial"/>
          <w:b/>
          <w:sz w:val="20"/>
          <w:szCs w:val="20"/>
        </w:rPr>
        <w:t>Figure 1</w:t>
      </w:r>
      <w:r w:rsidR="004227AB">
        <w:rPr>
          <w:rFonts w:asciiTheme="majorHAnsi" w:hAnsiTheme="majorHAnsi" w:cs="Arial"/>
          <w:b/>
          <w:sz w:val="20"/>
          <w:szCs w:val="20"/>
        </w:rPr>
        <w:t>1</w:t>
      </w:r>
      <w:r w:rsidRPr="00167882">
        <w:rPr>
          <w:rFonts w:asciiTheme="majorHAnsi" w:hAnsiTheme="majorHAnsi" w:cs="Arial"/>
          <w:sz w:val="20"/>
          <w:szCs w:val="20"/>
        </w:rPr>
        <w:t xml:space="preserve"> Trend in Under 5 Mortality from various sources</w:t>
      </w:r>
    </w:p>
    <w:p w:rsidR="000E7F0E" w:rsidRPr="00167882" w:rsidRDefault="000E7F0E" w:rsidP="00A23892">
      <w:pPr>
        <w:spacing w:after="0" w:line="240" w:lineRule="auto"/>
        <w:jc w:val="both"/>
        <w:rPr>
          <w:rFonts w:asciiTheme="majorHAnsi" w:hAnsiTheme="majorHAnsi" w:cs="HelveticaNeue-Roman"/>
          <w:sz w:val="24"/>
          <w:szCs w:val="24"/>
        </w:rPr>
      </w:pPr>
    </w:p>
    <w:p w:rsidR="000E7F0E" w:rsidRPr="00273DC5" w:rsidRDefault="000040E5" w:rsidP="001F1E92">
      <w:pPr>
        <w:pStyle w:val="Heading2"/>
        <w:rPr>
          <w:b/>
          <w:color w:val="auto"/>
        </w:rPr>
      </w:pPr>
      <w:bookmarkStart w:id="10" w:name="_Toc432886490"/>
      <w:r w:rsidRPr="00273DC5">
        <w:rPr>
          <w:b/>
          <w:color w:val="auto"/>
        </w:rPr>
        <w:t xml:space="preserve">2.5 </w:t>
      </w:r>
      <w:r w:rsidR="000E7F0E" w:rsidRPr="00273DC5">
        <w:rPr>
          <w:b/>
          <w:color w:val="auto"/>
        </w:rPr>
        <w:t>Regional Comparisons</w:t>
      </w:r>
      <w:r w:rsidRPr="00273DC5">
        <w:rPr>
          <w:b/>
          <w:color w:val="auto"/>
        </w:rPr>
        <w:t xml:space="preserve"> of Child mortality</w:t>
      </w:r>
      <w:bookmarkEnd w:id="10"/>
    </w:p>
    <w:p w:rsidR="000E7F0E" w:rsidRPr="00167882" w:rsidRDefault="00EB7BA0" w:rsidP="00A23892">
      <w:pPr>
        <w:spacing w:after="0" w:line="240" w:lineRule="auto"/>
        <w:jc w:val="both"/>
        <w:rPr>
          <w:rFonts w:asciiTheme="majorHAnsi" w:hAnsiTheme="majorHAnsi" w:cs="HelveticaNeue-Roman"/>
          <w:sz w:val="24"/>
          <w:szCs w:val="24"/>
        </w:rPr>
      </w:pPr>
      <w:r w:rsidRPr="00167882">
        <w:rPr>
          <w:rFonts w:asciiTheme="majorHAnsi" w:hAnsiTheme="majorHAnsi"/>
          <w:noProof/>
          <w:sz w:val="24"/>
          <w:szCs w:val="24"/>
          <w:lang w:eastAsia="en-ZW"/>
        </w:rPr>
        <w:drawing>
          <wp:anchor distT="0" distB="0" distL="114300" distR="114300" simplePos="0" relativeHeight="251679744" behindDoc="0" locked="0" layoutInCell="1" allowOverlap="1" wp14:anchorId="020788D9" wp14:editId="76199BA9">
            <wp:simplePos x="0" y="0"/>
            <wp:positionH relativeFrom="column">
              <wp:posOffset>104775</wp:posOffset>
            </wp:positionH>
            <wp:positionV relativeFrom="paragraph">
              <wp:posOffset>289560</wp:posOffset>
            </wp:positionV>
            <wp:extent cx="4657725" cy="3118485"/>
            <wp:effectExtent l="0" t="0" r="9525" b="5715"/>
            <wp:wrapSquare wrapText="bothSides"/>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sidR="000E7F0E" w:rsidRPr="00167882">
        <w:rPr>
          <w:rFonts w:asciiTheme="majorHAnsi" w:hAnsiTheme="majorHAnsi" w:cs="HelveticaNeue-Roman"/>
          <w:sz w:val="24"/>
          <w:szCs w:val="24"/>
        </w:rPr>
        <w:t xml:space="preserve">Comparing Zimbabwe’s Under 5 mortality rates with regional countries shows that it is situated in the middle. However Zimbabwe is way off its MGD target of an Under 5 Mortality of 25.  </w:t>
      </w:r>
    </w:p>
    <w:p w:rsidR="000E7F0E" w:rsidRPr="00167882" w:rsidRDefault="000E7F0E" w:rsidP="00A23892">
      <w:pPr>
        <w:spacing w:after="0" w:line="240" w:lineRule="auto"/>
        <w:jc w:val="both"/>
        <w:rPr>
          <w:rFonts w:asciiTheme="majorHAnsi" w:hAnsiTheme="majorHAnsi" w:cs="HelveticaNeue-Roman"/>
          <w:sz w:val="24"/>
          <w:szCs w:val="24"/>
        </w:rPr>
      </w:pPr>
    </w:p>
    <w:p w:rsidR="000E7F0E" w:rsidRDefault="000E7F0E" w:rsidP="00A23892">
      <w:pPr>
        <w:spacing w:after="0" w:line="240" w:lineRule="auto"/>
        <w:jc w:val="center"/>
        <w:rPr>
          <w:rFonts w:asciiTheme="majorHAnsi" w:hAnsiTheme="majorHAnsi"/>
          <w:noProof/>
          <w:sz w:val="24"/>
          <w:szCs w:val="24"/>
          <w:lang w:eastAsia="en-ZW"/>
        </w:rPr>
      </w:pPr>
    </w:p>
    <w:p w:rsidR="00EB7BA0" w:rsidRDefault="00EB7BA0" w:rsidP="00A23892">
      <w:pPr>
        <w:spacing w:after="0" w:line="240" w:lineRule="auto"/>
        <w:jc w:val="center"/>
        <w:rPr>
          <w:rFonts w:asciiTheme="majorHAnsi" w:hAnsiTheme="majorHAnsi"/>
          <w:noProof/>
          <w:sz w:val="24"/>
          <w:szCs w:val="24"/>
          <w:lang w:eastAsia="en-ZW"/>
        </w:rPr>
      </w:pPr>
    </w:p>
    <w:p w:rsidR="00EB7BA0" w:rsidRDefault="00EB7BA0" w:rsidP="00A23892">
      <w:pPr>
        <w:spacing w:after="0" w:line="240" w:lineRule="auto"/>
        <w:jc w:val="center"/>
        <w:rPr>
          <w:rFonts w:asciiTheme="majorHAnsi" w:hAnsiTheme="majorHAnsi"/>
          <w:noProof/>
          <w:sz w:val="24"/>
          <w:szCs w:val="24"/>
          <w:lang w:eastAsia="en-ZW"/>
        </w:rPr>
      </w:pPr>
    </w:p>
    <w:p w:rsidR="00EB7BA0" w:rsidRDefault="00EB7BA0" w:rsidP="00A23892">
      <w:pPr>
        <w:spacing w:after="0" w:line="240" w:lineRule="auto"/>
        <w:jc w:val="center"/>
        <w:rPr>
          <w:rFonts w:asciiTheme="majorHAnsi" w:hAnsiTheme="majorHAnsi"/>
          <w:noProof/>
          <w:sz w:val="24"/>
          <w:szCs w:val="24"/>
          <w:lang w:eastAsia="en-ZW"/>
        </w:rPr>
      </w:pPr>
    </w:p>
    <w:p w:rsidR="00EB7BA0" w:rsidRDefault="00EB7BA0" w:rsidP="00A23892">
      <w:pPr>
        <w:spacing w:after="0" w:line="240" w:lineRule="auto"/>
        <w:jc w:val="center"/>
        <w:rPr>
          <w:rFonts w:asciiTheme="majorHAnsi" w:hAnsiTheme="majorHAnsi"/>
          <w:noProof/>
          <w:sz w:val="24"/>
          <w:szCs w:val="24"/>
          <w:lang w:eastAsia="en-ZW"/>
        </w:rPr>
      </w:pPr>
    </w:p>
    <w:p w:rsidR="00EB7BA0" w:rsidRDefault="00EB7BA0" w:rsidP="00A23892">
      <w:pPr>
        <w:spacing w:after="0" w:line="240" w:lineRule="auto"/>
        <w:jc w:val="center"/>
        <w:rPr>
          <w:rFonts w:asciiTheme="majorHAnsi" w:hAnsiTheme="majorHAnsi"/>
          <w:noProof/>
          <w:sz w:val="24"/>
          <w:szCs w:val="24"/>
          <w:lang w:eastAsia="en-ZW"/>
        </w:rPr>
      </w:pPr>
    </w:p>
    <w:p w:rsidR="00EB7BA0" w:rsidRDefault="00EB7BA0" w:rsidP="00A23892">
      <w:pPr>
        <w:spacing w:after="0" w:line="240" w:lineRule="auto"/>
        <w:jc w:val="center"/>
        <w:rPr>
          <w:rFonts w:asciiTheme="majorHAnsi" w:hAnsiTheme="majorHAnsi"/>
          <w:noProof/>
          <w:sz w:val="24"/>
          <w:szCs w:val="24"/>
          <w:lang w:eastAsia="en-ZW"/>
        </w:rPr>
      </w:pPr>
    </w:p>
    <w:p w:rsidR="00EB7BA0" w:rsidRDefault="00EB7BA0" w:rsidP="00A23892">
      <w:pPr>
        <w:spacing w:after="0" w:line="240" w:lineRule="auto"/>
        <w:jc w:val="center"/>
        <w:rPr>
          <w:rFonts w:asciiTheme="majorHAnsi" w:hAnsiTheme="majorHAnsi"/>
          <w:noProof/>
          <w:sz w:val="24"/>
          <w:szCs w:val="24"/>
          <w:lang w:eastAsia="en-ZW"/>
        </w:rPr>
      </w:pPr>
    </w:p>
    <w:p w:rsidR="00EB7BA0" w:rsidRPr="00167882" w:rsidRDefault="00EB7BA0" w:rsidP="00A23892">
      <w:pPr>
        <w:spacing w:after="0" w:line="240" w:lineRule="auto"/>
        <w:jc w:val="center"/>
        <w:rPr>
          <w:rFonts w:asciiTheme="majorHAnsi" w:hAnsiTheme="majorHAnsi"/>
          <w:noProof/>
          <w:sz w:val="24"/>
          <w:szCs w:val="24"/>
          <w:lang w:eastAsia="en-ZW"/>
        </w:rPr>
      </w:pPr>
    </w:p>
    <w:p w:rsidR="00566825" w:rsidRPr="00167882" w:rsidRDefault="00566825" w:rsidP="00566825">
      <w:pPr>
        <w:spacing w:after="0" w:line="240" w:lineRule="auto"/>
        <w:jc w:val="both"/>
        <w:rPr>
          <w:rFonts w:asciiTheme="majorHAnsi" w:hAnsiTheme="majorHAnsi"/>
          <w:noProof/>
          <w:sz w:val="20"/>
          <w:szCs w:val="20"/>
        </w:rPr>
      </w:pPr>
      <w:r w:rsidRPr="00167882">
        <w:rPr>
          <w:rFonts w:asciiTheme="majorHAnsi" w:hAnsiTheme="majorHAnsi"/>
          <w:b/>
          <w:noProof/>
          <w:sz w:val="20"/>
          <w:szCs w:val="20"/>
          <w:lang w:eastAsia="en-ZW"/>
        </w:rPr>
        <w:t xml:space="preserve">       Figure 1</w:t>
      </w:r>
      <w:r w:rsidR="004227AB">
        <w:rPr>
          <w:rFonts w:asciiTheme="majorHAnsi" w:hAnsiTheme="majorHAnsi"/>
          <w:b/>
          <w:noProof/>
          <w:sz w:val="20"/>
          <w:szCs w:val="20"/>
          <w:lang w:eastAsia="en-ZW"/>
        </w:rPr>
        <w:t>2</w:t>
      </w:r>
      <w:r w:rsidRPr="00167882">
        <w:rPr>
          <w:rFonts w:asciiTheme="majorHAnsi" w:hAnsiTheme="majorHAnsi"/>
          <w:noProof/>
          <w:sz w:val="20"/>
          <w:szCs w:val="20"/>
          <w:lang w:eastAsia="en-ZW"/>
        </w:rPr>
        <w:t xml:space="preserve"> </w:t>
      </w:r>
      <w:r w:rsidRPr="00167882">
        <w:rPr>
          <w:rFonts w:asciiTheme="majorHAnsi" w:hAnsiTheme="majorHAnsi"/>
          <w:noProof/>
          <w:sz w:val="20"/>
          <w:szCs w:val="20"/>
          <w:lang w:val="en-US"/>
        </w:rPr>
        <w:t>Under 5 Mortality Rates in Southern Africa</w:t>
      </w:r>
    </w:p>
    <w:p w:rsidR="000E7F0E" w:rsidRPr="00167882" w:rsidRDefault="00566825" w:rsidP="00566825">
      <w:pPr>
        <w:spacing w:after="0" w:line="240" w:lineRule="auto"/>
        <w:jc w:val="both"/>
        <w:rPr>
          <w:rFonts w:asciiTheme="majorHAnsi" w:hAnsiTheme="majorHAnsi"/>
          <w:noProof/>
          <w:sz w:val="20"/>
          <w:szCs w:val="20"/>
          <w:lang w:eastAsia="en-ZW"/>
        </w:rPr>
      </w:pPr>
      <w:r w:rsidRPr="00167882">
        <w:rPr>
          <w:rFonts w:asciiTheme="majorHAnsi" w:hAnsiTheme="majorHAnsi"/>
          <w:i/>
          <w:noProof/>
          <w:sz w:val="20"/>
          <w:szCs w:val="20"/>
          <w:lang w:eastAsia="en-ZW"/>
        </w:rPr>
        <w:t xml:space="preserve">       Source</w:t>
      </w:r>
      <w:r w:rsidR="000E7F0E" w:rsidRPr="00167882">
        <w:rPr>
          <w:rFonts w:asciiTheme="majorHAnsi" w:hAnsiTheme="majorHAnsi"/>
          <w:noProof/>
          <w:sz w:val="20"/>
          <w:szCs w:val="20"/>
          <w:lang w:eastAsia="en-ZW"/>
        </w:rPr>
        <w:t xml:space="preserve"> </w:t>
      </w:r>
      <w:r w:rsidR="000E7F0E" w:rsidRPr="00167882">
        <w:rPr>
          <w:rFonts w:asciiTheme="majorHAnsi" w:hAnsiTheme="majorHAnsi" w:cs="HelveticaNeue-Roman"/>
          <w:sz w:val="20"/>
          <w:szCs w:val="20"/>
        </w:rPr>
        <w:t>Zimbabwe Population Census, 2012 and UNICEF (2013)</w:t>
      </w:r>
    </w:p>
    <w:p w:rsidR="000E7F0E" w:rsidRPr="00167882" w:rsidRDefault="000E7F0E" w:rsidP="00566825">
      <w:pPr>
        <w:spacing w:after="0" w:line="240" w:lineRule="auto"/>
        <w:jc w:val="both"/>
        <w:rPr>
          <w:rFonts w:asciiTheme="majorHAnsi" w:hAnsiTheme="majorHAnsi"/>
          <w:noProof/>
          <w:sz w:val="20"/>
          <w:szCs w:val="20"/>
          <w:lang w:eastAsia="en-ZW"/>
        </w:rPr>
      </w:pPr>
    </w:p>
    <w:p w:rsidR="000E7F0E" w:rsidRPr="00273DC5" w:rsidRDefault="007621F5" w:rsidP="001F1E92">
      <w:pPr>
        <w:pStyle w:val="Heading2"/>
        <w:rPr>
          <w:b/>
          <w:noProof/>
          <w:color w:val="auto"/>
          <w:lang w:eastAsia="en-ZW"/>
        </w:rPr>
      </w:pPr>
      <w:bookmarkStart w:id="11" w:name="_Toc432886491"/>
      <w:r w:rsidRPr="00273DC5">
        <w:rPr>
          <w:b/>
          <w:noProof/>
          <w:color w:val="auto"/>
          <w:lang w:eastAsia="en-ZW"/>
        </w:rPr>
        <w:lastRenderedPageBreak/>
        <w:t xml:space="preserve">2.6 </w:t>
      </w:r>
      <w:r w:rsidR="000E7F0E" w:rsidRPr="00273DC5">
        <w:rPr>
          <w:b/>
          <w:noProof/>
          <w:color w:val="auto"/>
          <w:lang w:eastAsia="en-ZW"/>
        </w:rPr>
        <w:t>Mortality Differentials</w:t>
      </w:r>
      <w:bookmarkEnd w:id="11"/>
      <w:r w:rsidR="003852C2">
        <w:rPr>
          <w:b/>
          <w:noProof/>
          <w:color w:val="auto"/>
          <w:lang w:eastAsia="en-ZW"/>
        </w:rPr>
        <w:t xml:space="preserve"> by Disability Status</w:t>
      </w:r>
    </w:p>
    <w:p w:rsidR="000E7F0E" w:rsidRPr="00167882" w:rsidRDefault="00414E8D" w:rsidP="00A23892">
      <w:pPr>
        <w:spacing w:after="0" w:line="240" w:lineRule="auto"/>
        <w:jc w:val="both"/>
        <w:rPr>
          <w:rFonts w:asciiTheme="majorHAnsi" w:hAnsiTheme="majorHAnsi"/>
          <w:noProof/>
          <w:sz w:val="24"/>
          <w:szCs w:val="24"/>
          <w:lang w:eastAsia="en-ZW"/>
        </w:rPr>
      </w:pPr>
      <w:r>
        <w:rPr>
          <w:noProof/>
          <w:lang w:eastAsia="en-ZW"/>
        </w:rPr>
        <w:drawing>
          <wp:anchor distT="0" distB="0" distL="114300" distR="114300" simplePos="0" relativeHeight="251664384" behindDoc="0" locked="0" layoutInCell="1" allowOverlap="1" wp14:anchorId="0BFB8B66" wp14:editId="4C1F7696">
            <wp:simplePos x="0" y="0"/>
            <wp:positionH relativeFrom="column">
              <wp:posOffset>0</wp:posOffset>
            </wp:positionH>
            <wp:positionV relativeFrom="paragraph">
              <wp:posOffset>391795</wp:posOffset>
            </wp:positionV>
            <wp:extent cx="3695700" cy="2470150"/>
            <wp:effectExtent l="0" t="0" r="0" b="6350"/>
            <wp:wrapSquare wrapText="bothSides"/>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sidR="000E7F0E" w:rsidRPr="00167882">
        <w:rPr>
          <w:rFonts w:asciiTheme="majorHAnsi" w:hAnsiTheme="majorHAnsi"/>
          <w:noProof/>
          <w:sz w:val="24"/>
          <w:szCs w:val="24"/>
          <w:lang w:eastAsia="en-ZW"/>
        </w:rPr>
        <w:t>Under 5 mortality of children born to disabled mothers</w:t>
      </w:r>
      <w:r>
        <w:rPr>
          <w:rFonts w:asciiTheme="majorHAnsi" w:hAnsiTheme="majorHAnsi"/>
          <w:noProof/>
          <w:sz w:val="24"/>
          <w:szCs w:val="24"/>
          <w:lang w:eastAsia="en-ZW"/>
        </w:rPr>
        <w:t xml:space="preserve"> </w:t>
      </w:r>
      <w:r w:rsidR="000E7F0E" w:rsidRPr="00167882">
        <w:rPr>
          <w:rFonts w:asciiTheme="majorHAnsi" w:hAnsiTheme="majorHAnsi"/>
          <w:noProof/>
          <w:sz w:val="24"/>
          <w:szCs w:val="24"/>
          <w:lang w:eastAsia="en-ZW"/>
        </w:rPr>
        <w:t>is highe</w:t>
      </w:r>
      <w:r>
        <w:rPr>
          <w:rFonts w:asciiTheme="majorHAnsi" w:hAnsiTheme="majorHAnsi"/>
          <w:noProof/>
          <w:sz w:val="24"/>
          <w:szCs w:val="24"/>
          <w:lang w:eastAsia="en-ZW"/>
        </w:rPr>
        <w:t>r than that of children born to mothers without disability</w:t>
      </w:r>
      <w:r w:rsidR="000E7F0E" w:rsidRPr="00167882">
        <w:rPr>
          <w:rFonts w:asciiTheme="majorHAnsi" w:hAnsiTheme="majorHAnsi"/>
          <w:noProof/>
          <w:sz w:val="24"/>
          <w:szCs w:val="24"/>
          <w:lang w:eastAsia="en-ZW"/>
        </w:rPr>
        <w:t xml:space="preserve">. </w:t>
      </w:r>
      <w:r w:rsidR="00D26FE5" w:rsidRPr="00167882">
        <w:rPr>
          <w:rFonts w:asciiTheme="majorHAnsi" w:hAnsiTheme="majorHAnsi"/>
          <w:noProof/>
          <w:sz w:val="24"/>
          <w:szCs w:val="24"/>
          <w:lang w:eastAsia="en-ZW"/>
        </w:rPr>
        <w:t xml:space="preserve">Policies should therefore be put in place to </w:t>
      </w:r>
      <w:r w:rsidR="007E6DFB" w:rsidRPr="00167882">
        <w:rPr>
          <w:rFonts w:asciiTheme="majorHAnsi" w:hAnsiTheme="majorHAnsi"/>
          <w:noProof/>
          <w:sz w:val="24"/>
          <w:szCs w:val="24"/>
          <w:lang w:eastAsia="en-ZW"/>
        </w:rPr>
        <w:t xml:space="preserve">improve the survival of children born to </w:t>
      </w:r>
      <w:r w:rsidR="00D26FE5" w:rsidRPr="00167882">
        <w:rPr>
          <w:rFonts w:asciiTheme="majorHAnsi" w:hAnsiTheme="majorHAnsi"/>
          <w:noProof/>
          <w:sz w:val="24"/>
          <w:szCs w:val="24"/>
          <w:lang w:eastAsia="en-ZW"/>
        </w:rPr>
        <w:t xml:space="preserve">this </w:t>
      </w:r>
      <w:r w:rsidR="000E7F0E" w:rsidRPr="00167882">
        <w:rPr>
          <w:rFonts w:asciiTheme="majorHAnsi" w:hAnsiTheme="majorHAnsi"/>
          <w:noProof/>
          <w:sz w:val="24"/>
          <w:szCs w:val="24"/>
          <w:lang w:eastAsia="en-ZW"/>
        </w:rPr>
        <w:t>disadvantaged group. The patterns of Under 5 mortality with respect to educational level of mother, marital status and with respect to residence of mother are expected. There is also great variablity of Under 5 mortality among the provinces. Under 5 mortality was lowest among the Mat</w:t>
      </w:r>
      <w:r w:rsidR="00282819">
        <w:rPr>
          <w:rFonts w:asciiTheme="majorHAnsi" w:hAnsiTheme="majorHAnsi"/>
          <w:noProof/>
          <w:sz w:val="24"/>
          <w:szCs w:val="24"/>
          <w:lang w:eastAsia="en-ZW"/>
        </w:rPr>
        <w:t>a</w:t>
      </w:r>
      <w:r w:rsidR="000E7F0E" w:rsidRPr="00167882">
        <w:rPr>
          <w:rFonts w:asciiTheme="majorHAnsi" w:hAnsiTheme="majorHAnsi"/>
          <w:noProof/>
          <w:sz w:val="24"/>
          <w:szCs w:val="24"/>
          <w:lang w:eastAsia="en-ZW"/>
        </w:rPr>
        <w:t xml:space="preserve">beleland and urban provinces.  </w:t>
      </w:r>
    </w:p>
    <w:p w:rsidR="000E7F0E" w:rsidRDefault="004167FD" w:rsidP="00A23892">
      <w:pPr>
        <w:spacing w:after="0" w:line="240" w:lineRule="auto"/>
        <w:jc w:val="both"/>
        <w:rPr>
          <w:noProof/>
          <w:lang w:eastAsia="en-ZW"/>
        </w:rPr>
      </w:pPr>
      <w:r w:rsidRPr="004167FD">
        <w:rPr>
          <w:noProof/>
          <w:lang w:eastAsia="en-ZW"/>
        </w:rPr>
        <w:t xml:space="preserve"> </w:t>
      </w:r>
    </w:p>
    <w:p w:rsidR="004167FD" w:rsidRDefault="00636106" w:rsidP="005C1DA8">
      <w:pPr>
        <w:jc w:val="both"/>
        <w:rPr>
          <w:rFonts w:asciiTheme="majorHAnsi" w:hAnsiTheme="majorHAnsi"/>
          <w:b/>
          <w:noProof/>
          <w:sz w:val="20"/>
          <w:szCs w:val="20"/>
          <w:lang w:eastAsia="en-ZW"/>
        </w:rPr>
      </w:pPr>
      <w:r w:rsidRPr="00636106">
        <w:rPr>
          <w:noProof/>
          <w:lang w:eastAsia="en-ZW"/>
        </w:rPr>
        <w:t xml:space="preserve"> </w:t>
      </w:r>
      <w:r w:rsidR="004227AB" w:rsidRPr="00167882">
        <w:rPr>
          <w:rFonts w:asciiTheme="majorHAnsi" w:hAnsiTheme="majorHAnsi"/>
          <w:b/>
          <w:noProof/>
          <w:sz w:val="20"/>
          <w:szCs w:val="20"/>
          <w:lang w:eastAsia="en-ZW"/>
        </w:rPr>
        <w:t>Figure 1</w:t>
      </w:r>
      <w:r w:rsidR="004227AB">
        <w:rPr>
          <w:rFonts w:asciiTheme="majorHAnsi" w:hAnsiTheme="majorHAnsi"/>
          <w:b/>
          <w:noProof/>
          <w:sz w:val="20"/>
          <w:szCs w:val="20"/>
          <w:lang w:eastAsia="en-ZW"/>
        </w:rPr>
        <w:t>3</w:t>
      </w:r>
      <w:r w:rsidR="004227AB" w:rsidRPr="00167882">
        <w:rPr>
          <w:rFonts w:asciiTheme="majorHAnsi" w:hAnsiTheme="majorHAnsi"/>
          <w:noProof/>
          <w:sz w:val="20"/>
          <w:szCs w:val="20"/>
          <w:lang w:eastAsia="en-ZW"/>
        </w:rPr>
        <w:t xml:space="preserve"> </w:t>
      </w:r>
      <w:r w:rsidR="004227AB" w:rsidRPr="00167882">
        <w:rPr>
          <w:rFonts w:asciiTheme="majorHAnsi" w:hAnsiTheme="majorHAnsi"/>
          <w:noProof/>
          <w:sz w:val="20"/>
          <w:szCs w:val="20"/>
          <w:lang w:val="en-US"/>
        </w:rPr>
        <w:t xml:space="preserve">Under 5 Mortality Rates </w:t>
      </w:r>
      <w:r w:rsidR="004227AB">
        <w:rPr>
          <w:rFonts w:asciiTheme="majorHAnsi" w:hAnsiTheme="majorHAnsi"/>
          <w:noProof/>
          <w:sz w:val="20"/>
          <w:szCs w:val="20"/>
          <w:lang w:val="en-US"/>
        </w:rPr>
        <w:t>By Disability Status of Mother</w:t>
      </w:r>
    </w:p>
    <w:p w:rsidR="000E7F0E" w:rsidRPr="00273DC5" w:rsidRDefault="007621F5" w:rsidP="001F1E92">
      <w:pPr>
        <w:pStyle w:val="Heading2"/>
        <w:rPr>
          <w:b/>
          <w:noProof/>
          <w:color w:val="auto"/>
          <w:lang w:eastAsia="en-ZW"/>
        </w:rPr>
      </w:pPr>
      <w:bookmarkStart w:id="12" w:name="_Toc432886492"/>
      <w:r w:rsidRPr="00273DC5">
        <w:rPr>
          <w:b/>
          <w:noProof/>
          <w:color w:val="auto"/>
          <w:lang w:eastAsia="en-ZW"/>
        </w:rPr>
        <w:t xml:space="preserve">2.7 </w:t>
      </w:r>
      <w:r w:rsidR="000E7F0E" w:rsidRPr="00273DC5">
        <w:rPr>
          <w:b/>
          <w:noProof/>
          <w:color w:val="auto"/>
          <w:lang w:eastAsia="en-ZW"/>
        </w:rPr>
        <w:t>Life Expectancy at Birth</w:t>
      </w:r>
      <w:bookmarkEnd w:id="12"/>
    </w:p>
    <w:p w:rsidR="000E7F0E" w:rsidRPr="00167882" w:rsidRDefault="006502FE" w:rsidP="00A23892">
      <w:pPr>
        <w:spacing w:after="0" w:line="240" w:lineRule="auto"/>
        <w:jc w:val="both"/>
        <w:rPr>
          <w:rFonts w:asciiTheme="majorHAnsi" w:hAnsiTheme="majorHAnsi"/>
          <w:noProof/>
          <w:sz w:val="24"/>
          <w:szCs w:val="24"/>
          <w:lang w:eastAsia="en-ZW"/>
        </w:rPr>
      </w:pPr>
      <w:r w:rsidRPr="00167882">
        <w:rPr>
          <w:rFonts w:asciiTheme="majorHAnsi" w:hAnsiTheme="majorHAnsi"/>
          <w:noProof/>
          <w:sz w:val="24"/>
          <w:szCs w:val="24"/>
          <w:lang w:eastAsia="en-ZW"/>
        </w:rPr>
        <w:drawing>
          <wp:anchor distT="0" distB="0" distL="114300" distR="114300" simplePos="0" relativeHeight="251687936" behindDoc="0" locked="0" layoutInCell="1" allowOverlap="1" wp14:anchorId="3895123A" wp14:editId="49E9143C">
            <wp:simplePos x="0" y="0"/>
            <wp:positionH relativeFrom="column">
              <wp:posOffset>0</wp:posOffset>
            </wp:positionH>
            <wp:positionV relativeFrom="paragraph">
              <wp:posOffset>1392555</wp:posOffset>
            </wp:positionV>
            <wp:extent cx="4057650" cy="2209800"/>
            <wp:effectExtent l="0" t="0" r="0" b="0"/>
            <wp:wrapSquare wrapText="bothSides"/>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r w:rsidR="000E7F0E" w:rsidRPr="00167882">
        <w:rPr>
          <w:rFonts w:asciiTheme="majorHAnsi" w:hAnsiTheme="majorHAnsi"/>
          <w:noProof/>
          <w:sz w:val="24"/>
          <w:szCs w:val="24"/>
          <w:lang w:eastAsia="en-ZW"/>
        </w:rPr>
        <w:t>While life expectancy at birth was around 60 years during the first year of independence, it declined to 57 years in 1992 and 43 years in 2002. This trend is explained by the HIV and AIDS trend. After 2002 life expectancy started to gradually increase reaching 60 years in 2012</w:t>
      </w:r>
      <w:r>
        <w:rPr>
          <w:rFonts w:asciiTheme="majorHAnsi" w:hAnsiTheme="majorHAnsi"/>
          <w:noProof/>
          <w:sz w:val="24"/>
          <w:szCs w:val="24"/>
          <w:lang w:eastAsia="en-ZW"/>
        </w:rPr>
        <w:t xml:space="preserve"> (57 years for males and 64 years for females)</w:t>
      </w:r>
      <w:r w:rsidR="000E7F0E" w:rsidRPr="00167882">
        <w:rPr>
          <w:rFonts w:asciiTheme="majorHAnsi" w:hAnsiTheme="majorHAnsi"/>
          <w:noProof/>
          <w:sz w:val="24"/>
          <w:szCs w:val="24"/>
          <w:lang w:eastAsia="en-ZW"/>
        </w:rPr>
        <w:t xml:space="preserve">. The increase in life expectancy can be attributed to better survival chances of </w:t>
      </w:r>
      <w:r w:rsidR="000321CB" w:rsidRPr="00167882">
        <w:rPr>
          <w:rFonts w:asciiTheme="majorHAnsi" w:hAnsiTheme="majorHAnsi"/>
          <w:noProof/>
          <w:sz w:val="24"/>
          <w:szCs w:val="24"/>
          <w:lang w:eastAsia="en-ZW"/>
        </w:rPr>
        <w:t xml:space="preserve">HIV and </w:t>
      </w:r>
      <w:r w:rsidR="000E7F0E" w:rsidRPr="00167882">
        <w:rPr>
          <w:rFonts w:asciiTheme="majorHAnsi" w:hAnsiTheme="majorHAnsi"/>
          <w:noProof/>
          <w:sz w:val="24"/>
          <w:szCs w:val="24"/>
          <w:lang w:eastAsia="en-ZW"/>
        </w:rPr>
        <w:t xml:space="preserve">AIDS </w:t>
      </w:r>
      <w:r w:rsidR="000321CB" w:rsidRPr="00167882">
        <w:rPr>
          <w:rFonts w:asciiTheme="majorHAnsi" w:hAnsiTheme="majorHAnsi"/>
          <w:noProof/>
          <w:sz w:val="24"/>
          <w:szCs w:val="24"/>
          <w:lang w:eastAsia="en-ZW"/>
        </w:rPr>
        <w:t>victims</w:t>
      </w:r>
      <w:r w:rsidR="000E7F0E" w:rsidRPr="00167882">
        <w:rPr>
          <w:rFonts w:asciiTheme="majorHAnsi" w:hAnsiTheme="majorHAnsi"/>
          <w:noProof/>
          <w:sz w:val="24"/>
          <w:szCs w:val="24"/>
          <w:lang w:eastAsia="en-ZW"/>
        </w:rPr>
        <w:t xml:space="preserve"> because of the general availability of ART and the general improvement in the availability of medicines after dollarisation in 2009.  The intercensus period 2002 to 2012 saw life expectancy increasing by 16.5 years i.e. an improvement of 1.65 years per year. We do not believe that this rate of life expectancy improvement is sustainable into the future, as it is attributed to medical intervention and not substantive changes in the socio-economic conditions of the population. </w:t>
      </w:r>
    </w:p>
    <w:p w:rsidR="000E7F0E" w:rsidRPr="00167882" w:rsidRDefault="000E7F0E" w:rsidP="00A23892">
      <w:pPr>
        <w:spacing w:after="0" w:line="240" w:lineRule="auto"/>
        <w:jc w:val="both"/>
        <w:rPr>
          <w:rFonts w:asciiTheme="majorHAnsi" w:hAnsiTheme="majorHAnsi"/>
          <w:noProof/>
          <w:sz w:val="24"/>
          <w:szCs w:val="24"/>
          <w:lang w:eastAsia="en-ZW"/>
        </w:rPr>
      </w:pPr>
    </w:p>
    <w:p w:rsidR="00D73C18" w:rsidRPr="00167882" w:rsidRDefault="00D73C18" w:rsidP="00D73C18">
      <w:pPr>
        <w:spacing w:after="0" w:line="240" w:lineRule="auto"/>
        <w:jc w:val="both"/>
        <w:rPr>
          <w:rFonts w:asciiTheme="majorHAnsi" w:hAnsiTheme="majorHAnsi"/>
          <w:i/>
          <w:noProof/>
          <w:sz w:val="20"/>
          <w:szCs w:val="20"/>
          <w:lang w:eastAsia="en-ZW"/>
        </w:rPr>
      </w:pPr>
      <w:r w:rsidRPr="00167882">
        <w:rPr>
          <w:rFonts w:asciiTheme="majorHAnsi" w:hAnsiTheme="majorHAnsi"/>
          <w:b/>
          <w:noProof/>
          <w:sz w:val="20"/>
          <w:szCs w:val="20"/>
          <w:lang w:val="en-US" w:eastAsia="en-ZW"/>
        </w:rPr>
        <w:t>Figure 1</w:t>
      </w:r>
      <w:r w:rsidR="004227AB">
        <w:rPr>
          <w:rFonts w:asciiTheme="majorHAnsi" w:hAnsiTheme="majorHAnsi"/>
          <w:b/>
          <w:noProof/>
          <w:sz w:val="20"/>
          <w:szCs w:val="20"/>
          <w:lang w:val="en-US" w:eastAsia="en-ZW"/>
        </w:rPr>
        <w:t>4</w:t>
      </w:r>
      <w:r w:rsidRPr="00167882">
        <w:rPr>
          <w:rFonts w:asciiTheme="majorHAnsi" w:hAnsiTheme="majorHAnsi"/>
          <w:i/>
          <w:noProof/>
          <w:sz w:val="20"/>
          <w:szCs w:val="20"/>
          <w:lang w:val="en-US" w:eastAsia="en-ZW"/>
        </w:rPr>
        <w:t xml:space="preserve">  </w:t>
      </w:r>
      <w:r w:rsidRPr="00167882">
        <w:rPr>
          <w:rFonts w:asciiTheme="majorHAnsi" w:hAnsiTheme="majorHAnsi"/>
          <w:noProof/>
          <w:sz w:val="20"/>
          <w:szCs w:val="20"/>
          <w:lang w:val="en-US" w:eastAsia="en-ZW"/>
        </w:rPr>
        <w:t>Zimbabwe Life Expectancy at Birth</w:t>
      </w:r>
    </w:p>
    <w:p w:rsidR="000E7F0E" w:rsidRPr="00167882" w:rsidRDefault="000E7F0E" w:rsidP="00A23892">
      <w:pPr>
        <w:spacing w:after="0" w:line="240" w:lineRule="auto"/>
        <w:jc w:val="both"/>
        <w:rPr>
          <w:rFonts w:asciiTheme="majorHAnsi" w:hAnsiTheme="majorHAnsi"/>
          <w:noProof/>
          <w:sz w:val="20"/>
          <w:szCs w:val="20"/>
          <w:lang w:eastAsia="en-ZW"/>
        </w:rPr>
      </w:pPr>
      <w:r w:rsidRPr="00167882">
        <w:rPr>
          <w:rFonts w:asciiTheme="majorHAnsi" w:hAnsiTheme="majorHAnsi"/>
          <w:i/>
          <w:noProof/>
          <w:sz w:val="20"/>
          <w:szCs w:val="20"/>
          <w:lang w:eastAsia="en-ZW"/>
        </w:rPr>
        <w:t>Source</w:t>
      </w:r>
      <w:r w:rsidRPr="00167882">
        <w:rPr>
          <w:rFonts w:asciiTheme="majorHAnsi" w:hAnsiTheme="majorHAnsi"/>
          <w:noProof/>
          <w:sz w:val="20"/>
          <w:szCs w:val="20"/>
          <w:lang w:eastAsia="en-ZW"/>
        </w:rPr>
        <w:t xml:space="preserve">: </w:t>
      </w:r>
      <w:r w:rsidRPr="00167882">
        <w:rPr>
          <w:rFonts w:asciiTheme="majorHAnsi" w:hAnsiTheme="majorHAnsi" w:cs="HelveticaNeue-Roman"/>
          <w:sz w:val="20"/>
          <w:szCs w:val="20"/>
        </w:rPr>
        <w:t xml:space="preserve">Zimbabwe Population Census, 2012 and World Bank </w:t>
      </w:r>
    </w:p>
    <w:p w:rsidR="00D73C18" w:rsidRPr="00167882" w:rsidRDefault="00D73C18" w:rsidP="00A23892">
      <w:pPr>
        <w:spacing w:after="0" w:line="240" w:lineRule="auto"/>
        <w:jc w:val="both"/>
        <w:rPr>
          <w:rFonts w:asciiTheme="majorHAnsi" w:hAnsiTheme="majorHAnsi"/>
          <w:noProof/>
          <w:sz w:val="24"/>
          <w:szCs w:val="24"/>
          <w:lang w:eastAsia="en-ZW"/>
        </w:rPr>
      </w:pPr>
    </w:p>
    <w:p w:rsidR="000E7F0E" w:rsidRPr="00167882" w:rsidRDefault="000E7F0E" w:rsidP="00A23892">
      <w:pPr>
        <w:spacing w:after="0" w:line="240" w:lineRule="auto"/>
        <w:jc w:val="both"/>
        <w:rPr>
          <w:rFonts w:asciiTheme="majorHAnsi" w:hAnsiTheme="majorHAnsi"/>
          <w:noProof/>
          <w:sz w:val="24"/>
          <w:szCs w:val="24"/>
          <w:lang w:eastAsia="en-ZW"/>
        </w:rPr>
      </w:pPr>
      <w:r w:rsidRPr="00167882">
        <w:rPr>
          <w:rFonts w:asciiTheme="majorHAnsi" w:hAnsiTheme="majorHAnsi"/>
          <w:noProof/>
          <w:sz w:val="24"/>
          <w:szCs w:val="24"/>
          <w:lang w:eastAsia="en-ZW"/>
        </w:rPr>
        <w:t>A regional comparison of life expectancies shows that Zimbabwe enjoys higher life expectancy than most of the regional countries. Its life expectancy is second to that of Namibia which stands at 63.9 years.</w:t>
      </w:r>
    </w:p>
    <w:p w:rsidR="000E7F0E" w:rsidRPr="00167882" w:rsidRDefault="000E7F0E" w:rsidP="00A23892">
      <w:pPr>
        <w:spacing w:after="0" w:line="240" w:lineRule="auto"/>
        <w:jc w:val="both"/>
        <w:rPr>
          <w:rFonts w:asciiTheme="majorHAnsi" w:hAnsiTheme="majorHAnsi"/>
          <w:noProof/>
          <w:sz w:val="24"/>
          <w:szCs w:val="24"/>
          <w:lang w:eastAsia="en-ZW"/>
        </w:rPr>
      </w:pPr>
    </w:p>
    <w:p w:rsidR="000E7F0E" w:rsidRPr="00167882" w:rsidRDefault="000E7F0E" w:rsidP="00A23892">
      <w:pPr>
        <w:spacing w:after="0" w:line="240" w:lineRule="auto"/>
        <w:jc w:val="center"/>
        <w:rPr>
          <w:rFonts w:asciiTheme="majorHAnsi" w:hAnsiTheme="majorHAnsi"/>
          <w:noProof/>
          <w:sz w:val="24"/>
          <w:szCs w:val="24"/>
          <w:lang w:eastAsia="en-ZW"/>
        </w:rPr>
      </w:pPr>
      <w:r w:rsidRPr="00167882">
        <w:rPr>
          <w:rFonts w:asciiTheme="majorHAnsi" w:hAnsiTheme="majorHAnsi"/>
          <w:noProof/>
          <w:sz w:val="24"/>
          <w:szCs w:val="24"/>
          <w:lang w:eastAsia="en-ZW"/>
        </w:rPr>
        <w:lastRenderedPageBreak/>
        <w:drawing>
          <wp:anchor distT="0" distB="0" distL="114300" distR="114300" simplePos="0" relativeHeight="251703296" behindDoc="0" locked="0" layoutInCell="1" allowOverlap="1">
            <wp:simplePos x="0" y="0"/>
            <wp:positionH relativeFrom="column">
              <wp:posOffset>-55686</wp:posOffset>
            </wp:positionH>
            <wp:positionV relativeFrom="paragraph">
              <wp:posOffset>580</wp:posOffset>
            </wp:positionV>
            <wp:extent cx="4221480" cy="2960288"/>
            <wp:effectExtent l="0" t="0" r="7620" b="12065"/>
            <wp:wrapSquare wrapText="bothSides"/>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7F2041" w:rsidRDefault="003825AE" w:rsidP="003825AE">
      <w:pPr>
        <w:spacing w:after="0" w:line="240" w:lineRule="auto"/>
        <w:jc w:val="both"/>
        <w:rPr>
          <w:rFonts w:asciiTheme="majorHAnsi" w:hAnsiTheme="majorHAnsi"/>
          <w:b/>
          <w:noProof/>
          <w:sz w:val="24"/>
          <w:szCs w:val="24"/>
          <w:lang w:eastAsia="en-ZW"/>
        </w:rPr>
      </w:pPr>
      <w:r w:rsidRPr="00167882">
        <w:rPr>
          <w:rFonts w:asciiTheme="majorHAnsi" w:hAnsiTheme="majorHAnsi"/>
          <w:b/>
          <w:noProof/>
          <w:sz w:val="24"/>
          <w:szCs w:val="24"/>
          <w:lang w:eastAsia="en-ZW"/>
        </w:rPr>
        <w:t xml:space="preserve">                       </w:t>
      </w:r>
    </w:p>
    <w:p w:rsidR="007F2041" w:rsidRDefault="007F2041" w:rsidP="003825AE">
      <w:pPr>
        <w:spacing w:after="0" w:line="240" w:lineRule="auto"/>
        <w:jc w:val="both"/>
        <w:rPr>
          <w:rFonts w:asciiTheme="majorHAnsi" w:hAnsiTheme="majorHAnsi"/>
          <w:b/>
          <w:noProof/>
          <w:sz w:val="24"/>
          <w:szCs w:val="24"/>
          <w:lang w:eastAsia="en-ZW"/>
        </w:rPr>
      </w:pPr>
    </w:p>
    <w:p w:rsidR="007F2041" w:rsidRDefault="007F2041" w:rsidP="003825AE">
      <w:pPr>
        <w:spacing w:after="0" w:line="240" w:lineRule="auto"/>
        <w:jc w:val="both"/>
        <w:rPr>
          <w:rFonts w:asciiTheme="majorHAnsi" w:hAnsiTheme="majorHAnsi"/>
          <w:b/>
          <w:noProof/>
          <w:sz w:val="24"/>
          <w:szCs w:val="24"/>
          <w:lang w:eastAsia="en-ZW"/>
        </w:rPr>
      </w:pPr>
    </w:p>
    <w:p w:rsidR="007F2041" w:rsidRDefault="007F2041" w:rsidP="003825AE">
      <w:pPr>
        <w:spacing w:after="0" w:line="240" w:lineRule="auto"/>
        <w:jc w:val="both"/>
        <w:rPr>
          <w:rFonts w:asciiTheme="majorHAnsi" w:hAnsiTheme="majorHAnsi"/>
          <w:b/>
          <w:noProof/>
          <w:sz w:val="24"/>
          <w:szCs w:val="24"/>
          <w:lang w:eastAsia="en-ZW"/>
        </w:rPr>
      </w:pPr>
    </w:p>
    <w:p w:rsidR="007F2041" w:rsidRDefault="007F2041" w:rsidP="003825AE">
      <w:pPr>
        <w:spacing w:after="0" w:line="240" w:lineRule="auto"/>
        <w:jc w:val="both"/>
        <w:rPr>
          <w:rFonts w:asciiTheme="majorHAnsi" w:hAnsiTheme="majorHAnsi"/>
          <w:b/>
          <w:noProof/>
          <w:sz w:val="24"/>
          <w:szCs w:val="24"/>
          <w:lang w:eastAsia="en-ZW"/>
        </w:rPr>
      </w:pPr>
    </w:p>
    <w:p w:rsidR="007F2041" w:rsidRDefault="007F2041" w:rsidP="003825AE">
      <w:pPr>
        <w:spacing w:after="0" w:line="240" w:lineRule="auto"/>
        <w:jc w:val="both"/>
        <w:rPr>
          <w:rFonts w:asciiTheme="majorHAnsi" w:hAnsiTheme="majorHAnsi"/>
          <w:b/>
          <w:noProof/>
          <w:sz w:val="24"/>
          <w:szCs w:val="24"/>
          <w:lang w:eastAsia="en-ZW"/>
        </w:rPr>
      </w:pPr>
    </w:p>
    <w:p w:rsidR="007F2041" w:rsidRDefault="007F2041" w:rsidP="003825AE">
      <w:pPr>
        <w:spacing w:after="0" w:line="240" w:lineRule="auto"/>
        <w:jc w:val="both"/>
        <w:rPr>
          <w:rFonts w:asciiTheme="majorHAnsi" w:hAnsiTheme="majorHAnsi"/>
          <w:b/>
          <w:noProof/>
          <w:sz w:val="24"/>
          <w:szCs w:val="24"/>
          <w:lang w:eastAsia="en-ZW"/>
        </w:rPr>
      </w:pPr>
    </w:p>
    <w:p w:rsidR="007F2041" w:rsidRDefault="007F2041" w:rsidP="003825AE">
      <w:pPr>
        <w:spacing w:after="0" w:line="240" w:lineRule="auto"/>
        <w:jc w:val="both"/>
        <w:rPr>
          <w:rFonts w:asciiTheme="majorHAnsi" w:hAnsiTheme="majorHAnsi"/>
          <w:b/>
          <w:noProof/>
          <w:sz w:val="24"/>
          <w:szCs w:val="24"/>
          <w:lang w:eastAsia="en-ZW"/>
        </w:rPr>
      </w:pPr>
    </w:p>
    <w:p w:rsidR="007F2041" w:rsidRDefault="007F2041" w:rsidP="003825AE">
      <w:pPr>
        <w:spacing w:after="0" w:line="240" w:lineRule="auto"/>
        <w:jc w:val="both"/>
        <w:rPr>
          <w:rFonts w:asciiTheme="majorHAnsi" w:hAnsiTheme="majorHAnsi"/>
          <w:b/>
          <w:noProof/>
          <w:sz w:val="24"/>
          <w:szCs w:val="24"/>
          <w:lang w:eastAsia="en-ZW"/>
        </w:rPr>
      </w:pPr>
    </w:p>
    <w:p w:rsidR="007F2041" w:rsidRDefault="007F2041" w:rsidP="003825AE">
      <w:pPr>
        <w:spacing w:after="0" w:line="240" w:lineRule="auto"/>
        <w:jc w:val="both"/>
        <w:rPr>
          <w:rFonts w:asciiTheme="majorHAnsi" w:hAnsiTheme="majorHAnsi"/>
          <w:b/>
          <w:noProof/>
          <w:sz w:val="24"/>
          <w:szCs w:val="24"/>
          <w:lang w:eastAsia="en-ZW"/>
        </w:rPr>
      </w:pPr>
    </w:p>
    <w:p w:rsidR="007F2041" w:rsidRDefault="007F2041" w:rsidP="003825AE">
      <w:pPr>
        <w:spacing w:after="0" w:line="240" w:lineRule="auto"/>
        <w:jc w:val="both"/>
        <w:rPr>
          <w:rFonts w:asciiTheme="majorHAnsi" w:hAnsiTheme="majorHAnsi"/>
          <w:b/>
          <w:noProof/>
          <w:sz w:val="24"/>
          <w:szCs w:val="24"/>
          <w:lang w:eastAsia="en-ZW"/>
        </w:rPr>
      </w:pPr>
    </w:p>
    <w:p w:rsidR="007F2041" w:rsidRDefault="007F2041" w:rsidP="003825AE">
      <w:pPr>
        <w:spacing w:after="0" w:line="240" w:lineRule="auto"/>
        <w:jc w:val="both"/>
        <w:rPr>
          <w:rFonts w:asciiTheme="majorHAnsi" w:hAnsiTheme="majorHAnsi"/>
          <w:b/>
          <w:noProof/>
          <w:sz w:val="24"/>
          <w:szCs w:val="24"/>
          <w:lang w:eastAsia="en-ZW"/>
        </w:rPr>
      </w:pPr>
    </w:p>
    <w:p w:rsidR="007F2041" w:rsidRDefault="007F2041" w:rsidP="003825AE">
      <w:pPr>
        <w:spacing w:after="0" w:line="240" w:lineRule="auto"/>
        <w:jc w:val="both"/>
        <w:rPr>
          <w:rFonts w:asciiTheme="majorHAnsi" w:hAnsiTheme="majorHAnsi"/>
          <w:b/>
          <w:noProof/>
          <w:sz w:val="24"/>
          <w:szCs w:val="24"/>
          <w:lang w:eastAsia="en-ZW"/>
        </w:rPr>
      </w:pPr>
    </w:p>
    <w:p w:rsidR="007F2041" w:rsidRDefault="007F2041" w:rsidP="003825AE">
      <w:pPr>
        <w:spacing w:after="0" w:line="240" w:lineRule="auto"/>
        <w:jc w:val="both"/>
        <w:rPr>
          <w:rFonts w:asciiTheme="majorHAnsi" w:hAnsiTheme="majorHAnsi"/>
          <w:b/>
          <w:noProof/>
          <w:sz w:val="24"/>
          <w:szCs w:val="24"/>
          <w:lang w:eastAsia="en-ZW"/>
        </w:rPr>
      </w:pPr>
    </w:p>
    <w:p w:rsidR="007F2041" w:rsidRDefault="007F2041" w:rsidP="003825AE">
      <w:pPr>
        <w:spacing w:after="0" w:line="240" w:lineRule="auto"/>
        <w:jc w:val="both"/>
        <w:rPr>
          <w:rFonts w:asciiTheme="majorHAnsi" w:hAnsiTheme="majorHAnsi"/>
          <w:b/>
          <w:noProof/>
          <w:sz w:val="24"/>
          <w:szCs w:val="24"/>
          <w:lang w:eastAsia="en-ZW"/>
        </w:rPr>
      </w:pPr>
    </w:p>
    <w:p w:rsidR="003825AE" w:rsidRPr="00167882" w:rsidRDefault="003825AE" w:rsidP="003825AE">
      <w:pPr>
        <w:spacing w:after="0" w:line="240" w:lineRule="auto"/>
        <w:jc w:val="both"/>
        <w:rPr>
          <w:rFonts w:asciiTheme="majorHAnsi" w:hAnsiTheme="majorHAnsi"/>
          <w:noProof/>
        </w:rPr>
      </w:pPr>
      <w:r w:rsidRPr="00167882">
        <w:rPr>
          <w:rFonts w:asciiTheme="majorHAnsi" w:hAnsiTheme="majorHAnsi"/>
          <w:b/>
          <w:noProof/>
          <w:sz w:val="24"/>
          <w:szCs w:val="24"/>
          <w:lang w:eastAsia="en-ZW"/>
        </w:rPr>
        <w:t>Figure 1</w:t>
      </w:r>
      <w:r w:rsidR="004227AB">
        <w:rPr>
          <w:rFonts w:asciiTheme="majorHAnsi" w:hAnsiTheme="majorHAnsi"/>
          <w:b/>
          <w:noProof/>
          <w:sz w:val="24"/>
          <w:szCs w:val="24"/>
          <w:lang w:eastAsia="en-ZW"/>
        </w:rPr>
        <w:t>5</w:t>
      </w:r>
      <w:r w:rsidRPr="00167882">
        <w:rPr>
          <w:rFonts w:asciiTheme="majorHAnsi" w:hAnsiTheme="majorHAnsi"/>
          <w:noProof/>
          <w:sz w:val="24"/>
          <w:szCs w:val="24"/>
          <w:lang w:eastAsia="en-ZW"/>
        </w:rPr>
        <w:t xml:space="preserve"> </w:t>
      </w:r>
      <w:r w:rsidRPr="00167882">
        <w:rPr>
          <w:rFonts w:asciiTheme="majorHAnsi" w:hAnsiTheme="majorHAnsi"/>
          <w:noProof/>
          <w:lang w:val="en-US"/>
        </w:rPr>
        <w:t>Life Expectancy for selected Southern African Countries</w:t>
      </w:r>
    </w:p>
    <w:p w:rsidR="000E7F0E" w:rsidRPr="00167882" w:rsidRDefault="000E7F0E" w:rsidP="003825AE">
      <w:pPr>
        <w:spacing w:after="0" w:line="240" w:lineRule="auto"/>
        <w:jc w:val="both"/>
        <w:rPr>
          <w:rFonts w:asciiTheme="majorHAnsi" w:hAnsiTheme="majorHAnsi"/>
          <w:noProof/>
          <w:sz w:val="24"/>
          <w:szCs w:val="24"/>
          <w:lang w:eastAsia="en-ZW"/>
        </w:rPr>
      </w:pPr>
      <w:r w:rsidRPr="00167882">
        <w:rPr>
          <w:rFonts w:asciiTheme="majorHAnsi" w:hAnsiTheme="majorHAnsi"/>
          <w:i/>
          <w:noProof/>
          <w:sz w:val="24"/>
          <w:szCs w:val="24"/>
          <w:lang w:eastAsia="en-ZW"/>
        </w:rPr>
        <w:t>Source</w:t>
      </w:r>
      <w:r w:rsidRPr="00167882">
        <w:rPr>
          <w:rFonts w:asciiTheme="majorHAnsi" w:hAnsiTheme="majorHAnsi"/>
          <w:noProof/>
          <w:sz w:val="24"/>
          <w:szCs w:val="24"/>
          <w:lang w:eastAsia="en-ZW"/>
        </w:rPr>
        <w:t xml:space="preserve">: </w:t>
      </w:r>
      <w:r w:rsidRPr="00167882">
        <w:rPr>
          <w:rFonts w:asciiTheme="majorHAnsi" w:hAnsiTheme="majorHAnsi" w:cs="HelveticaNeue-Roman"/>
          <w:sz w:val="24"/>
          <w:szCs w:val="24"/>
        </w:rPr>
        <w:t xml:space="preserve">Zimbabwe Population Census, 2012 and World Bank </w:t>
      </w:r>
    </w:p>
    <w:p w:rsidR="001C296C" w:rsidRPr="00273DC5" w:rsidRDefault="007621F5" w:rsidP="000C00F9">
      <w:pPr>
        <w:pStyle w:val="Heading1"/>
        <w:rPr>
          <w:b/>
          <w:color w:val="auto"/>
        </w:rPr>
      </w:pPr>
      <w:bookmarkStart w:id="13" w:name="_Toc432886493"/>
      <w:r w:rsidRPr="00273DC5">
        <w:rPr>
          <w:b/>
          <w:color w:val="auto"/>
        </w:rPr>
        <w:t xml:space="preserve">3.0 </w:t>
      </w:r>
      <w:r w:rsidR="00F83697" w:rsidRPr="00273DC5">
        <w:rPr>
          <w:b/>
          <w:color w:val="auto"/>
        </w:rPr>
        <w:t>POPULATION STRUCTURE</w:t>
      </w:r>
      <w:bookmarkEnd w:id="13"/>
    </w:p>
    <w:p w:rsidR="00006BDC" w:rsidRPr="00273DC5" w:rsidRDefault="007621F5" w:rsidP="000C00F9">
      <w:pPr>
        <w:pStyle w:val="Heading2"/>
        <w:rPr>
          <w:b/>
          <w:color w:val="auto"/>
        </w:rPr>
      </w:pPr>
      <w:bookmarkStart w:id="14" w:name="_Toc432886494"/>
      <w:r w:rsidRPr="00273DC5">
        <w:rPr>
          <w:b/>
          <w:color w:val="auto"/>
        </w:rPr>
        <w:t xml:space="preserve">3.1 </w:t>
      </w:r>
      <w:r w:rsidR="00006BDC" w:rsidRPr="00273DC5">
        <w:rPr>
          <w:b/>
          <w:color w:val="auto"/>
        </w:rPr>
        <w:t xml:space="preserve">Age </w:t>
      </w:r>
      <w:r w:rsidRPr="00273DC5">
        <w:rPr>
          <w:b/>
          <w:color w:val="auto"/>
        </w:rPr>
        <w:t>Structure</w:t>
      </w:r>
      <w:bookmarkEnd w:id="14"/>
    </w:p>
    <w:p w:rsidR="001B253D" w:rsidRPr="00167882" w:rsidRDefault="00414E8D" w:rsidP="00A23892">
      <w:pPr>
        <w:autoSpaceDE w:val="0"/>
        <w:autoSpaceDN w:val="0"/>
        <w:adjustRightInd w:val="0"/>
        <w:spacing w:after="0" w:line="240" w:lineRule="auto"/>
        <w:jc w:val="both"/>
        <w:rPr>
          <w:rFonts w:asciiTheme="majorHAnsi" w:hAnsiTheme="majorHAnsi" w:cs="Arial"/>
          <w:sz w:val="24"/>
          <w:szCs w:val="24"/>
        </w:rPr>
      </w:pPr>
      <w:r w:rsidRPr="00167882">
        <w:rPr>
          <w:rFonts w:asciiTheme="majorHAnsi" w:hAnsiTheme="majorHAnsi"/>
          <w:noProof/>
          <w:sz w:val="24"/>
          <w:szCs w:val="24"/>
          <w:lang w:eastAsia="en-ZW"/>
        </w:rPr>
        <w:drawing>
          <wp:anchor distT="0" distB="0" distL="114300" distR="114300" simplePos="0" relativeHeight="251665408" behindDoc="0" locked="0" layoutInCell="1" allowOverlap="1" wp14:anchorId="35FA761A" wp14:editId="64919471">
            <wp:simplePos x="0" y="0"/>
            <wp:positionH relativeFrom="column">
              <wp:posOffset>104775</wp:posOffset>
            </wp:positionH>
            <wp:positionV relativeFrom="paragraph">
              <wp:posOffset>990600</wp:posOffset>
            </wp:positionV>
            <wp:extent cx="2819400" cy="2511425"/>
            <wp:effectExtent l="0" t="0" r="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19400" cy="2511425"/>
                    </a:xfrm>
                    <a:prstGeom prst="rect">
                      <a:avLst/>
                    </a:prstGeom>
                    <a:noFill/>
                  </pic:spPr>
                </pic:pic>
              </a:graphicData>
            </a:graphic>
            <wp14:sizeRelH relativeFrom="margin">
              <wp14:pctWidth>0</wp14:pctWidth>
            </wp14:sizeRelH>
            <wp14:sizeRelV relativeFrom="margin">
              <wp14:pctHeight>0</wp14:pctHeight>
            </wp14:sizeRelV>
          </wp:anchor>
        </w:drawing>
      </w:r>
      <w:r w:rsidR="000D5F7E" w:rsidRPr="00167882">
        <w:rPr>
          <w:rFonts w:asciiTheme="majorHAnsi" w:hAnsiTheme="majorHAnsi" w:cs="HelveticaNeue-Light"/>
          <w:sz w:val="24"/>
          <w:szCs w:val="24"/>
        </w:rPr>
        <w:t>P</w:t>
      </w:r>
      <w:r w:rsidR="00422C09" w:rsidRPr="00167882">
        <w:rPr>
          <w:rFonts w:asciiTheme="majorHAnsi" w:hAnsiTheme="majorHAnsi" w:cs="HelveticaNeue-Light"/>
          <w:sz w:val="24"/>
          <w:szCs w:val="24"/>
        </w:rPr>
        <w:t xml:space="preserve">opulation pyramids </w:t>
      </w:r>
      <w:r>
        <w:rPr>
          <w:rFonts w:asciiTheme="majorHAnsi" w:hAnsiTheme="majorHAnsi" w:cs="HelveticaNeue-Light"/>
          <w:sz w:val="24"/>
          <w:szCs w:val="24"/>
        </w:rPr>
        <w:t xml:space="preserve">for </w:t>
      </w:r>
      <w:r w:rsidR="00422C09" w:rsidRPr="00167882">
        <w:rPr>
          <w:rFonts w:asciiTheme="majorHAnsi" w:hAnsiTheme="majorHAnsi" w:cs="HelveticaNeue-Light"/>
          <w:sz w:val="24"/>
          <w:szCs w:val="24"/>
        </w:rPr>
        <w:t xml:space="preserve">Zimbabwe for </w:t>
      </w:r>
      <w:r>
        <w:rPr>
          <w:rFonts w:asciiTheme="majorHAnsi" w:hAnsiTheme="majorHAnsi" w:cs="HelveticaNeue-Light"/>
          <w:sz w:val="24"/>
          <w:szCs w:val="24"/>
        </w:rPr>
        <w:t xml:space="preserve">the </w:t>
      </w:r>
      <w:r w:rsidR="00422C09" w:rsidRPr="00167882">
        <w:rPr>
          <w:rFonts w:asciiTheme="majorHAnsi" w:hAnsiTheme="majorHAnsi" w:cs="HelveticaNeue-Light"/>
          <w:sz w:val="24"/>
          <w:szCs w:val="24"/>
        </w:rPr>
        <w:t>years 1992, 2002 and 2012</w:t>
      </w:r>
      <w:r>
        <w:rPr>
          <w:rFonts w:asciiTheme="majorHAnsi" w:hAnsiTheme="majorHAnsi" w:cs="HelveticaNeue-Light"/>
          <w:sz w:val="24"/>
          <w:szCs w:val="24"/>
        </w:rPr>
        <w:t xml:space="preserve"> are</w:t>
      </w:r>
      <w:r w:rsidR="00422C09" w:rsidRPr="00167882">
        <w:rPr>
          <w:rFonts w:asciiTheme="majorHAnsi" w:hAnsiTheme="majorHAnsi" w:cs="HelveticaNeue-Light"/>
          <w:sz w:val="24"/>
          <w:szCs w:val="24"/>
        </w:rPr>
        <w:t xml:space="preserve"> wider at the base </w:t>
      </w:r>
      <w:r>
        <w:rPr>
          <w:rFonts w:asciiTheme="majorHAnsi" w:hAnsiTheme="majorHAnsi" w:cs="HelveticaNeue-Light"/>
          <w:sz w:val="24"/>
          <w:szCs w:val="24"/>
        </w:rPr>
        <w:t>showing that</w:t>
      </w:r>
      <w:r w:rsidR="00422C09" w:rsidRPr="00167882">
        <w:rPr>
          <w:rFonts w:asciiTheme="majorHAnsi" w:hAnsiTheme="majorHAnsi" w:cs="HelveticaNeue-Light"/>
          <w:sz w:val="24"/>
          <w:szCs w:val="24"/>
        </w:rPr>
        <w:t xml:space="preserve"> there are more people in the younger age groups than in the older age groups for both sexes. </w:t>
      </w:r>
      <w:r w:rsidR="00165899" w:rsidRPr="00167882">
        <w:rPr>
          <w:rFonts w:asciiTheme="majorHAnsi" w:hAnsiTheme="majorHAnsi" w:cs="HelveticaNeue-Light"/>
          <w:sz w:val="24"/>
          <w:szCs w:val="24"/>
        </w:rPr>
        <w:t xml:space="preserve">This is explained by the high fertility levels among the population. </w:t>
      </w:r>
      <w:r w:rsidR="00422C09" w:rsidRPr="00167882">
        <w:rPr>
          <w:rFonts w:asciiTheme="majorHAnsi" w:hAnsiTheme="majorHAnsi" w:cs="HelveticaNeue-Light"/>
          <w:sz w:val="24"/>
          <w:szCs w:val="24"/>
        </w:rPr>
        <w:t xml:space="preserve">Figures from the </w:t>
      </w:r>
      <w:r w:rsidR="00422C09" w:rsidRPr="00167882">
        <w:rPr>
          <w:rFonts w:asciiTheme="majorHAnsi" w:hAnsiTheme="majorHAnsi"/>
          <w:sz w:val="24"/>
          <w:szCs w:val="24"/>
        </w:rPr>
        <w:t>2012 Population Census show</w:t>
      </w:r>
      <w:r w:rsidR="00944C1A" w:rsidRPr="00167882">
        <w:rPr>
          <w:rFonts w:asciiTheme="majorHAnsi" w:hAnsiTheme="majorHAnsi"/>
          <w:sz w:val="24"/>
          <w:szCs w:val="24"/>
        </w:rPr>
        <w:t xml:space="preserve"> that </w:t>
      </w:r>
      <w:r w:rsidR="004F1C0D" w:rsidRPr="00167882">
        <w:rPr>
          <w:rFonts w:asciiTheme="majorHAnsi" w:hAnsiTheme="majorHAnsi" w:cs="Arial"/>
          <w:sz w:val="24"/>
          <w:szCs w:val="24"/>
        </w:rPr>
        <w:t xml:space="preserve">41 percent of </w:t>
      </w:r>
      <w:r w:rsidR="00422C09" w:rsidRPr="00167882">
        <w:rPr>
          <w:rFonts w:asciiTheme="majorHAnsi" w:hAnsiTheme="majorHAnsi" w:cs="Arial"/>
          <w:sz w:val="24"/>
          <w:szCs w:val="24"/>
        </w:rPr>
        <w:t>Zimbabwe’s</w:t>
      </w:r>
      <w:r w:rsidR="004F1C0D" w:rsidRPr="00167882">
        <w:rPr>
          <w:rFonts w:asciiTheme="majorHAnsi" w:hAnsiTheme="majorHAnsi" w:cs="Arial"/>
          <w:sz w:val="24"/>
          <w:szCs w:val="24"/>
        </w:rPr>
        <w:t xml:space="preserve"> population </w:t>
      </w:r>
      <w:r w:rsidR="00422C09" w:rsidRPr="00167882">
        <w:rPr>
          <w:rFonts w:asciiTheme="majorHAnsi" w:hAnsiTheme="majorHAnsi" w:cs="Arial"/>
          <w:sz w:val="24"/>
          <w:szCs w:val="24"/>
        </w:rPr>
        <w:t xml:space="preserve">is </w:t>
      </w:r>
      <w:r w:rsidR="004F1C0D" w:rsidRPr="00167882">
        <w:rPr>
          <w:rFonts w:asciiTheme="majorHAnsi" w:hAnsiTheme="majorHAnsi" w:cs="Arial"/>
          <w:sz w:val="24"/>
          <w:szCs w:val="24"/>
        </w:rPr>
        <w:t xml:space="preserve">aged below 15 years. </w:t>
      </w:r>
      <w:r w:rsidR="00D27938" w:rsidRPr="00167882">
        <w:rPr>
          <w:rFonts w:asciiTheme="majorHAnsi" w:hAnsiTheme="majorHAnsi" w:cs="Arial"/>
          <w:sz w:val="24"/>
          <w:szCs w:val="24"/>
        </w:rPr>
        <w:t xml:space="preserve">This proportion has changed </w:t>
      </w:r>
      <w:r w:rsidR="00AF5523" w:rsidRPr="00167882">
        <w:rPr>
          <w:rFonts w:asciiTheme="majorHAnsi" w:hAnsiTheme="majorHAnsi" w:cs="Arial"/>
          <w:sz w:val="24"/>
          <w:szCs w:val="24"/>
        </w:rPr>
        <w:t xml:space="preserve">slightly </w:t>
      </w:r>
      <w:r w:rsidR="00D27938" w:rsidRPr="00167882">
        <w:rPr>
          <w:rFonts w:asciiTheme="majorHAnsi" w:hAnsiTheme="majorHAnsi" w:cs="Arial"/>
          <w:sz w:val="24"/>
          <w:szCs w:val="24"/>
        </w:rPr>
        <w:t>since 1992. It</w:t>
      </w:r>
      <w:r w:rsidR="005E2486" w:rsidRPr="00167882">
        <w:rPr>
          <w:rFonts w:asciiTheme="majorHAnsi" w:hAnsiTheme="majorHAnsi" w:cs="Arial"/>
          <w:sz w:val="24"/>
          <w:szCs w:val="24"/>
        </w:rPr>
        <w:t xml:space="preserve"> was the same as in 2002 but lower than the 1992 proportion of 45%. </w:t>
      </w:r>
      <w:r w:rsidR="001B253D" w:rsidRPr="00167882">
        <w:rPr>
          <w:rFonts w:asciiTheme="majorHAnsi" w:hAnsiTheme="majorHAnsi" w:cs="Arial"/>
          <w:sz w:val="24"/>
          <w:szCs w:val="24"/>
        </w:rPr>
        <w:t xml:space="preserve">Zimbabwe’s population still remains young with half of it aged below 20 years. </w:t>
      </w:r>
      <w:r w:rsidR="00DA6CCB" w:rsidRPr="00167882">
        <w:rPr>
          <w:rFonts w:asciiTheme="majorHAnsi" w:hAnsiTheme="majorHAnsi" w:cs="Arial"/>
          <w:sz w:val="24"/>
          <w:szCs w:val="24"/>
        </w:rPr>
        <w:t xml:space="preserve">Regional comparisons show that South Africa </w:t>
      </w:r>
      <w:r w:rsidR="001C7AD0" w:rsidRPr="00167882">
        <w:rPr>
          <w:rFonts w:asciiTheme="majorHAnsi" w:hAnsiTheme="majorHAnsi" w:cs="Arial"/>
          <w:sz w:val="24"/>
          <w:szCs w:val="24"/>
        </w:rPr>
        <w:t xml:space="preserve">has </w:t>
      </w:r>
      <w:r w:rsidR="00DA6CCB" w:rsidRPr="00167882">
        <w:rPr>
          <w:rFonts w:asciiTheme="majorHAnsi" w:hAnsiTheme="majorHAnsi" w:cs="Arial"/>
          <w:sz w:val="24"/>
          <w:szCs w:val="24"/>
        </w:rPr>
        <w:t>30%</w:t>
      </w:r>
      <w:r w:rsidR="001C7AD0" w:rsidRPr="00167882">
        <w:rPr>
          <w:rFonts w:asciiTheme="majorHAnsi" w:hAnsiTheme="majorHAnsi" w:cs="Arial"/>
          <w:sz w:val="24"/>
          <w:szCs w:val="24"/>
        </w:rPr>
        <w:t xml:space="preserve"> of its population aged below 15 years and </w:t>
      </w:r>
      <w:r w:rsidR="00DA6CCB" w:rsidRPr="00167882">
        <w:rPr>
          <w:rFonts w:asciiTheme="majorHAnsi" w:hAnsiTheme="majorHAnsi" w:cs="Arial"/>
          <w:sz w:val="24"/>
          <w:szCs w:val="24"/>
        </w:rPr>
        <w:t>Zambia</w:t>
      </w:r>
      <w:r w:rsidR="001C7AD0" w:rsidRPr="00167882">
        <w:rPr>
          <w:rFonts w:asciiTheme="majorHAnsi" w:hAnsiTheme="majorHAnsi" w:cs="Arial"/>
          <w:sz w:val="24"/>
          <w:szCs w:val="24"/>
        </w:rPr>
        <w:t xml:space="preserve"> has 46%</w:t>
      </w:r>
      <w:r w:rsidR="00307871">
        <w:rPr>
          <w:rFonts w:asciiTheme="majorHAnsi" w:hAnsiTheme="majorHAnsi" w:cs="Arial"/>
          <w:sz w:val="24"/>
          <w:szCs w:val="24"/>
        </w:rPr>
        <w:t xml:space="preserve"> (Statistics South Africa, 2015 and </w:t>
      </w:r>
      <w:proofErr w:type="spellStart"/>
      <w:r w:rsidR="00307871">
        <w:rPr>
          <w:rFonts w:asciiTheme="majorHAnsi" w:hAnsiTheme="majorHAnsi" w:cs="Arial"/>
          <w:sz w:val="24"/>
          <w:szCs w:val="24"/>
        </w:rPr>
        <w:t>Sikanyiti</w:t>
      </w:r>
      <w:proofErr w:type="spellEnd"/>
      <w:r w:rsidR="00307871">
        <w:rPr>
          <w:rFonts w:asciiTheme="majorHAnsi" w:hAnsiTheme="majorHAnsi" w:cs="Arial"/>
          <w:sz w:val="24"/>
          <w:szCs w:val="24"/>
        </w:rPr>
        <w:t>, 2012)</w:t>
      </w:r>
      <w:r w:rsidR="000571FF" w:rsidRPr="00167882">
        <w:rPr>
          <w:rFonts w:asciiTheme="majorHAnsi" w:hAnsiTheme="majorHAnsi" w:cs="Arial"/>
          <w:sz w:val="24"/>
          <w:szCs w:val="24"/>
        </w:rPr>
        <w:t>. The proportion of the population below 15 years to the total population for Zimbabwe and the region is much higher than that of the UK</w:t>
      </w:r>
      <w:r w:rsidR="00A81A8D" w:rsidRPr="00167882">
        <w:rPr>
          <w:rFonts w:asciiTheme="majorHAnsi" w:hAnsiTheme="majorHAnsi" w:cs="Arial"/>
          <w:sz w:val="24"/>
          <w:szCs w:val="24"/>
        </w:rPr>
        <w:t xml:space="preserve"> and the European Union region of </w:t>
      </w:r>
      <w:r w:rsidR="000571FF" w:rsidRPr="00167882">
        <w:rPr>
          <w:rFonts w:asciiTheme="majorHAnsi" w:hAnsiTheme="majorHAnsi" w:cs="Arial"/>
          <w:sz w:val="24"/>
          <w:szCs w:val="24"/>
        </w:rPr>
        <w:t>18%</w:t>
      </w:r>
      <w:r w:rsidR="00A81A8D" w:rsidRPr="00167882">
        <w:rPr>
          <w:rFonts w:asciiTheme="majorHAnsi" w:hAnsiTheme="majorHAnsi" w:cs="Arial"/>
          <w:sz w:val="24"/>
          <w:szCs w:val="24"/>
        </w:rPr>
        <w:t xml:space="preserve"> and 16% respectively</w:t>
      </w:r>
      <w:r w:rsidR="00307871">
        <w:rPr>
          <w:rFonts w:asciiTheme="majorHAnsi" w:hAnsiTheme="majorHAnsi" w:cs="Arial"/>
          <w:sz w:val="24"/>
          <w:szCs w:val="24"/>
        </w:rPr>
        <w:t xml:space="preserve"> (The UK Office of National Statistics, 2010 and Eurostat, 2015)</w:t>
      </w:r>
      <w:r w:rsidR="0036644E" w:rsidRPr="00167882">
        <w:rPr>
          <w:rFonts w:asciiTheme="majorHAnsi" w:hAnsiTheme="majorHAnsi" w:cs="Arial"/>
          <w:sz w:val="24"/>
          <w:szCs w:val="24"/>
        </w:rPr>
        <w:t xml:space="preserve">. </w:t>
      </w:r>
    </w:p>
    <w:p w:rsidR="000D5F7E" w:rsidRPr="00167882" w:rsidRDefault="004227AB" w:rsidP="00A23892">
      <w:pPr>
        <w:autoSpaceDE w:val="0"/>
        <w:autoSpaceDN w:val="0"/>
        <w:adjustRightInd w:val="0"/>
        <w:spacing w:after="0" w:line="240" w:lineRule="auto"/>
        <w:rPr>
          <w:rFonts w:asciiTheme="majorHAnsi" w:hAnsiTheme="majorHAnsi" w:cs="HelveticaNeue-Light"/>
          <w:sz w:val="24"/>
          <w:szCs w:val="24"/>
        </w:rPr>
      </w:pPr>
      <w:r w:rsidRPr="00167882">
        <w:rPr>
          <w:rFonts w:asciiTheme="majorHAnsi" w:hAnsiTheme="majorHAnsi"/>
          <w:noProof/>
          <w:sz w:val="24"/>
          <w:szCs w:val="24"/>
          <w:lang w:eastAsia="en-ZW"/>
        </w:rPr>
        <w:lastRenderedPageBreak/>
        <w:drawing>
          <wp:anchor distT="0" distB="0" distL="114300" distR="114300" simplePos="0" relativeHeight="251666432" behindDoc="0" locked="0" layoutInCell="1" allowOverlap="1" wp14:anchorId="0AEA95A8" wp14:editId="647BF78A">
            <wp:simplePos x="0" y="0"/>
            <wp:positionH relativeFrom="column">
              <wp:posOffset>3248025</wp:posOffset>
            </wp:positionH>
            <wp:positionV relativeFrom="paragraph">
              <wp:posOffset>166370</wp:posOffset>
            </wp:positionV>
            <wp:extent cx="2571750" cy="2429510"/>
            <wp:effectExtent l="0" t="0" r="0" b="889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71750" cy="2429510"/>
                    </a:xfrm>
                    <a:prstGeom prst="rect">
                      <a:avLst/>
                    </a:prstGeom>
                    <a:noFill/>
                  </pic:spPr>
                </pic:pic>
              </a:graphicData>
            </a:graphic>
            <wp14:sizeRelH relativeFrom="margin">
              <wp14:pctWidth>0</wp14:pctWidth>
            </wp14:sizeRelH>
            <wp14:sizeRelV relativeFrom="margin">
              <wp14:pctHeight>0</wp14:pctHeight>
            </wp14:sizeRelV>
          </wp:anchor>
        </w:drawing>
      </w:r>
      <w:r w:rsidRPr="00167882">
        <w:rPr>
          <w:rFonts w:asciiTheme="majorHAnsi" w:hAnsiTheme="majorHAnsi"/>
          <w:noProof/>
          <w:sz w:val="24"/>
          <w:szCs w:val="24"/>
          <w:lang w:eastAsia="en-ZW"/>
        </w:rPr>
        <w:drawing>
          <wp:anchor distT="0" distB="0" distL="114300" distR="114300" simplePos="0" relativeHeight="251667456" behindDoc="0" locked="0" layoutInCell="1" allowOverlap="1" wp14:anchorId="758367BF" wp14:editId="4D300498">
            <wp:simplePos x="0" y="0"/>
            <wp:positionH relativeFrom="column">
              <wp:posOffset>0</wp:posOffset>
            </wp:positionH>
            <wp:positionV relativeFrom="paragraph">
              <wp:posOffset>190500</wp:posOffset>
            </wp:positionV>
            <wp:extent cx="3046730" cy="2381250"/>
            <wp:effectExtent l="0" t="0" r="127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6730" cy="2381250"/>
                    </a:xfrm>
                    <a:prstGeom prst="rect">
                      <a:avLst/>
                    </a:prstGeom>
                    <a:noFill/>
                  </pic:spPr>
                </pic:pic>
              </a:graphicData>
            </a:graphic>
            <wp14:sizeRelH relativeFrom="margin">
              <wp14:pctWidth>0</wp14:pctWidth>
            </wp14:sizeRelH>
            <wp14:sizeRelV relativeFrom="margin">
              <wp14:pctHeight>0</wp14:pctHeight>
            </wp14:sizeRelV>
          </wp:anchor>
        </w:drawing>
      </w:r>
    </w:p>
    <w:p w:rsidR="004227AB" w:rsidRDefault="004227AB" w:rsidP="00A23892">
      <w:pPr>
        <w:pStyle w:val="Default"/>
        <w:jc w:val="both"/>
        <w:rPr>
          <w:rFonts w:asciiTheme="majorHAnsi" w:hAnsiTheme="majorHAnsi"/>
          <w:b/>
          <w:color w:val="auto"/>
          <w:sz w:val="20"/>
          <w:szCs w:val="20"/>
        </w:rPr>
      </w:pPr>
    </w:p>
    <w:p w:rsidR="00AB26ED" w:rsidRDefault="00DA1B75" w:rsidP="00A23892">
      <w:pPr>
        <w:pStyle w:val="Default"/>
        <w:jc w:val="both"/>
        <w:rPr>
          <w:rFonts w:asciiTheme="majorHAnsi" w:hAnsiTheme="majorHAnsi"/>
          <w:color w:val="auto"/>
          <w:sz w:val="20"/>
          <w:szCs w:val="20"/>
        </w:rPr>
      </w:pPr>
      <w:r w:rsidRPr="00167882">
        <w:rPr>
          <w:rFonts w:asciiTheme="majorHAnsi" w:hAnsiTheme="majorHAnsi"/>
          <w:b/>
          <w:color w:val="auto"/>
          <w:sz w:val="20"/>
          <w:szCs w:val="20"/>
        </w:rPr>
        <w:t xml:space="preserve">Figure </w:t>
      </w:r>
      <w:r w:rsidR="004227AB">
        <w:rPr>
          <w:rFonts w:asciiTheme="majorHAnsi" w:hAnsiTheme="majorHAnsi"/>
          <w:b/>
          <w:color w:val="auto"/>
          <w:sz w:val="20"/>
          <w:szCs w:val="20"/>
        </w:rPr>
        <w:t>16</w:t>
      </w:r>
      <w:r w:rsidRPr="00167882">
        <w:rPr>
          <w:rFonts w:asciiTheme="majorHAnsi" w:hAnsiTheme="majorHAnsi"/>
          <w:color w:val="auto"/>
          <w:sz w:val="20"/>
          <w:szCs w:val="20"/>
        </w:rPr>
        <w:t xml:space="preserve"> Population pyramids, Zimbabwe population 1992, 2002 and 2012</w:t>
      </w:r>
    </w:p>
    <w:p w:rsidR="00307871" w:rsidRPr="00167882" w:rsidRDefault="00307871" w:rsidP="00A23892">
      <w:pPr>
        <w:pStyle w:val="Default"/>
        <w:jc w:val="both"/>
        <w:rPr>
          <w:rFonts w:asciiTheme="majorHAnsi" w:hAnsiTheme="majorHAnsi"/>
          <w:color w:val="auto"/>
          <w:sz w:val="20"/>
          <w:szCs w:val="20"/>
        </w:rPr>
      </w:pPr>
    </w:p>
    <w:p w:rsidR="000C4FB6" w:rsidRPr="00273DC5" w:rsidRDefault="00292D93" w:rsidP="00BC7CE1">
      <w:pPr>
        <w:pStyle w:val="Heading2"/>
        <w:rPr>
          <w:b/>
          <w:color w:val="auto"/>
        </w:rPr>
      </w:pPr>
      <w:bookmarkStart w:id="15" w:name="_Toc432886495"/>
      <w:r w:rsidRPr="00273DC5">
        <w:rPr>
          <w:b/>
          <w:color w:val="auto"/>
        </w:rPr>
        <w:t xml:space="preserve">3.2 </w:t>
      </w:r>
      <w:r w:rsidR="000C4FB6" w:rsidRPr="00273DC5">
        <w:rPr>
          <w:b/>
          <w:color w:val="auto"/>
        </w:rPr>
        <w:t>Sex Structure</w:t>
      </w:r>
      <w:bookmarkEnd w:id="15"/>
    </w:p>
    <w:p w:rsidR="00E60DCF" w:rsidRDefault="00414E8D" w:rsidP="00A23892">
      <w:pPr>
        <w:pStyle w:val="Default"/>
        <w:jc w:val="both"/>
        <w:rPr>
          <w:rFonts w:asciiTheme="majorHAnsi" w:hAnsiTheme="majorHAnsi"/>
          <w:color w:val="auto"/>
        </w:rPr>
      </w:pPr>
      <w:r w:rsidRPr="00167882">
        <w:rPr>
          <w:rStyle w:val="FootnoteReference"/>
          <w:rFonts w:asciiTheme="majorHAnsi" w:hAnsiTheme="majorHAnsi"/>
          <w:noProof/>
          <w:color w:val="auto"/>
          <w:shd w:val="clear" w:color="auto" w:fill="FFFFFF"/>
          <w:lang w:eastAsia="en-ZW"/>
        </w:rPr>
        <w:drawing>
          <wp:anchor distT="0" distB="0" distL="114300" distR="114300" simplePos="0" relativeHeight="251668480" behindDoc="0" locked="0" layoutInCell="1" allowOverlap="1" wp14:anchorId="5B0D3D27" wp14:editId="25EFD876">
            <wp:simplePos x="0" y="0"/>
            <wp:positionH relativeFrom="column">
              <wp:posOffset>0</wp:posOffset>
            </wp:positionH>
            <wp:positionV relativeFrom="paragraph">
              <wp:posOffset>480060</wp:posOffset>
            </wp:positionV>
            <wp:extent cx="3714750" cy="2676525"/>
            <wp:effectExtent l="0" t="0" r="0" b="9525"/>
            <wp:wrapSquare wrapText="bothSides"/>
            <wp:docPr id="87"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r w:rsidR="00FA11BA" w:rsidRPr="00167882">
        <w:rPr>
          <w:rFonts w:asciiTheme="majorHAnsi" w:hAnsiTheme="majorHAnsi"/>
          <w:color w:val="auto"/>
        </w:rPr>
        <w:t>The overall sex ratio in 2012 was 92</w:t>
      </w:r>
      <w:r w:rsidR="00307871">
        <w:rPr>
          <w:rFonts w:asciiTheme="majorHAnsi" w:hAnsiTheme="majorHAnsi"/>
          <w:color w:val="auto"/>
        </w:rPr>
        <w:t xml:space="preserve">, that is, </w:t>
      </w:r>
      <w:r w:rsidR="00FA11BA" w:rsidRPr="00167882">
        <w:rPr>
          <w:rFonts w:asciiTheme="majorHAnsi" w:hAnsiTheme="majorHAnsi"/>
          <w:color w:val="auto"/>
        </w:rPr>
        <w:t xml:space="preserve">there were 92 males for every 100 females. </w:t>
      </w:r>
      <w:r w:rsidR="00FD5552" w:rsidRPr="00167882">
        <w:rPr>
          <w:rFonts w:asciiTheme="majorHAnsi" w:hAnsiTheme="majorHAnsi"/>
          <w:color w:val="auto"/>
        </w:rPr>
        <w:t xml:space="preserve">Below the age of 15 years, there are almost equal numbers of males and females. </w:t>
      </w:r>
      <w:r w:rsidR="00307871">
        <w:rPr>
          <w:rFonts w:asciiTheme="majorHAnsi" w:hAnsiTheme="majorHAnsi"/>
          <w:color w:val="auto"/>
        </w:rPr>
        <w:t>This is the case</w:t>
      </w:r>
      <w:r w:rsidR="00DC646B" w:rsidRPr="00167882">
        <w:rPr>
          <w:rFonts w:asciiTheme="majorHAnsi" w:hAnsiTheme="majorHAnsi"/>
          <w:color w:val="auto"/>
        </w:rPr>
        <w:t xml:space="preserve"> for all the censuses.</w:t>
      </w:r>
      <w:r w:rsidR="00FD5552" w:rsidRPr="00167882">
        <w:rPr>
          <w:rFonts w:asciiTheme="majorHAnsi" w:hAnsiTheme="majorHAnsi"/>
          <w:color w:val="auto"/>
        </w:rPr>
        <w:t xml:space="preserve"> For the 1982 and 1992 censuses the sex ratio favours </w:t>
      </w:r>
      <w:r w:rsidR="005A47E5" w:rsidRPr="00167882">
        <w:rPr>
          <w:rFonts w:asciiTheme="majorHAnsi" w:hAnsiTheme="majorHAnsi"/>
          <w:color w:val="auto"/>
        </w:rPr>
        <w:t>fe</w:t>
      </w:r>
      <w:r w:rsidR="00FD5552" w:rsidRPr="00167882">
        <w:rPr>
          <w:rFonts w:asciiTheme="majorHAnsi" w:hAnsiTheme="majorHAnsi"/>
          <w:color w:val="auto"/>
        </w:rPr>
        <w:t>males up to age</w:t>
      </w:r>
      <w:r w:rsidR="005A47E5" w:rsidRPr="00167882">
        <w:rPr>
          <w:rFonts w:asciiTheme="majorHAnsi" w:hAnsiTheme="majorHAnsi"/>
          <w:color w:val="auto"/>
        </w:rPr>
        <w:t xml:space="preserve"> 40 and 50 respectively</w:t>
      </w:r>
      <w:r w:rsidR="00623EB7" w:rsidRPr="00167882">
        <w:rPr>
          <w:rFonts w:asciiTheme="majorHAnsi" w:hAnsiTheme="majorHAnsi"/>
          <w:color w:val="auto"/>
        </w:rPr>
        <w:t xml:space="preserve"> and males dominate thereafter up to age 69 years.</w:t>
      </w:r>
      <w:r w:rsidR="00FD5552" w:rsidRPr="00167882">
        <w:rPr>
          <w:rFonts w:asciiTheme="majorHAnsi" w:hAnsiTheme="majorHAnsi"/>
          <w:color w:val="auto"/>
        </w:rPr>
        <w:t xml:space="preserve"> For the latter censuses</w:t>
      </w:r>
      <w:r w:rsidR="005A47E5" w:rsidRPr="00167882">
        <w:rPr>
          <w:rFonts w:asciiTheme="majorHAnsi" w:hAnsiTheme="majorHAnsi"/>
          <w:color w:val="auto"/>
        </w:rPr>
        <w:t xml:space="preserve">, </w:t>
      </w:r>
      <w:r w:rsidR="00307871">
        <w:rPr>
          <w:rFonts w:asciiTheme="majorHAnsi" w:hAnsiTheme="majorHAnsi"/>
          <w:color w:val="auto"/>
        </w:rPr>
        <w:t>that is,</w:t>
      </w:r>
      <w:r w:rsidR="005A47E5" w:rsidRPr="00167882">
        <w:rPr>
          <w:rFonts w:asciiTheme="majorHAnsi" w:hAnsiTheme="majorHAnsi"/>
          <w:color w:val="auto"/>
        </w:rPr>
        <w:t xml:space="preserve"> 2002 and 2012 censuses,</w:t>
      </w:r>
      <w:r w:rsidR="00FD5552" w:rsidRPr="00167882">
        <w:rPr>
          <w:rFonts w:asciiTheme="majorHAnsi" w:hAnsiTheme="majorHAnsi"/>
          <w:color w:val="auto"/>
        </w:rPr>
        <w:t xml:space="preserve"> the</w:t>
      </w:r>
      <w:r w:rsidR="005A47E5" w:rsidRPr="00167882">
        <w:rPr>
          <w:rFonts w:asciiTheme="majorHAnsi" w:hAnsiTheme="majorHAnsi"/>
          <w:color w:val="auto"/>
        </w:rPr>
        <w:t xml:space="preserve"> sex ratio generally favours women throughout all age groups</w:t>
      </w:r>
      <w:r w:rsidR="009456A9" w:rsidRPr="00167882">
        <w:rPr>
          <w:rFonts w:asciiTheme="majorHAnsi" w:hAnsiTheme="majorHAnsi"/>
          <w:color w:val="auto"/>
        </w:rPr>
        <w:t xml:space="preserve"> above 14 years</w:t>
      </w:r>
      <w:r w:rsidR="005A47E5" w:rsidRPr="00167882">
        <w:rPr>
          <w:rFonts w:asciiTheme="majorHAnsi" w:hAnsiTheme="majorHAnsi"/>
          <w:color w:val="auto"/>
        </w:rPr>
        <w:t xml:space="preserve">. </w:t>
      </w:r>
      <w:r w:rsidR="00FD5552" w:rsidRPr="00167882">
        <w:rPr>
          <w:rFonts w:asciiTheme="majorHAnsi" w:hAnsiTheme="majorHAnsi"/>
          <w:color w:val="auto"/>
        </w:rPr>
        <w:t>The trend is that with time women are outl</w:t>
      </w:r>
      <w:r w:rsidR="000F6309" w:rsidRPr="00167882">
        <w:rPr>
          <w:rFonts w:asciiTheme="majorHAnsi" w:hAnsiTheme="majorHAnsi"/>
          <w:color w:val="auto"/>
        </w:rPr>
        <w:t xml:space="preserve">iving their male counterparts at every age group.  </w:t>
      </w:r>
    </w:p>
    <w:p w:rsidR="00307871" w:rsidRPr="00167882" w:rsidRDefault="00307871" w:rsidP="00A23892">
      <w:pPr>
        <w:pStyle w:val="Default"/>
        <w:jc w:val="both"/>
        <w:rPr>
          <w:rFonts w:asciiTheme="majorHAnsi" w:hAnsiTheme="majorHAnsi"/>
          <w:color w:val="auto"/>
        </w:rPr>
      </w:pPr>
    </w:p>
    <w:p w:rsidR="00963D33" w:rsidRPr="00167882" w:rsidRDefault="00A06F4A" w:rsidP="00A23892">
      <w:pPr>
        <w:pStyle w:val="Default"/>
        <w:jc w:val="both"/>
        <w:rPr>
          <w:rFonts w:asciiTheme="majorHAnsi" w:hAnsiTheme="majorHAnsi"/>
          <w:b/>
          <w:color w:val="auto"/>
          <w:sz w:val="20"/>
          <w:szCs w:val="20"/>
        </w:rPr>
      </w:pPr>
      <w:r w:rsidRPr="00167882">
        <w:rPr>
          <w:rFonts w:asciiTheme="majorHAnsi" w:hAnsiTheme="majorHAnsi"/>
          <w:b/>
          <w:color w:val="auto"/>
          <w:sz w:val="20"/>
          <w:szCs w:val="20"/>
        </w:rPr>
        <w:t xml:space="preserve"> </w:t>
      </w:r>
      <w:r w:rsidR="00963D33" w:rsidRPr="00167882">
        <w:rPr>
          <w:rFonts w:asciiTheme="majorHAnsi" w:hAnsiTheme="majorHAnsi"/>
          <w:b/>
          <w:color w:val="auto"/>
          <w:sz w:val="20"/>
          <w:szCs w:val="20"/>
        </w:rPr>
        <w:t xml:space="preserve">Figure </w:t>
      </w:r>
      <w:r w:rsidR="004227AB">
        <w:rPr>
          <w:rFonts w:asciiTheme="majorHAnsi" w:hAnsiTheme="majorHAnsi"/>
          <w:b/>
          <w:color w:val="auto"/>
          <w:sz w:val="20"/>
          <w:szCs w:val="20"/>
        </w:rPr>
        <w:t>17</w:t>
      </w:r>
      <w:r w:rsidR="00963D33" w:rsidRPr="00167882">
        <w:rPr>
          <w:rFonts w:asciiTheme="majorHAnsi" w:hAnsiTheme="majorHAnsi"/>
          <w:b/>
          <w:color w:val="auto"/>
          <w:sz w:val="20"/>
          <w:szCs w:val="20"/>
        </w:rPr>
        <w:t xml:space="preserve"> </w:t>
      </w:r>
      <w:r w:rsidR="00963D33" w:rsidRPr="00167882">
        <w:rPr>
          <w:rFonts w:asciiTheme="majorHAnsi" w:hAnsiTheme="majorHAnsi"/>
          <w:color w:val="auto"/>
          <w:sz w:val="20"/>
          <w:szCs w:val="20"/>
        </w:rPr>
        <w:t>Age-specific sex ratios, various years</w:t>
      </w:r>
    </w:p>
    <w:p w:rsidR="00963D33" w:rsidRPr="00167882" w:rsidRDefault="00963D33" w:rsidP="00A23892">
      <w:pPr>
        <w:pStyle w:val="Default"/>
        <w:jc w:val="both"/>
        <w:rPr>
          <w:rFonts w:asciiTheme="majorHAnsi" w:hAnsiTheme="majorHAnsi"/>
          <w:b/>
          <w:color w:val="auto"/>
        </w:rPr>
      </w:pPr>
    </w:p>
    <w:p w:rsidR="00AB26ED" w:rsidRPr="00273DC5" w:rsidRDefault="00292D93" w:rsidP="00BC7CE1">
      <w:pPr>
        <w:pStyle w:val="Heading2"/>
        <w:rPr>
          <w:b/>
          <w:color w:val="auto"/>
        </w:rPr>
      </w:pPr>
      <w:bookmarkStart w:id="16" w:name="_Toc432886496"/>
      <w:r w:rsidRPr="00273DC5">
        <w:rPr>
          <w:b/>
          <w:color w:val="auto"/>
        </w:rPr>
        <w:t xml:space="preserve">3.3 </w:t>
      </w:r>
      <w:r w:rsidR="00AB26ED" w:rsidRPr="00273DC5">
        <w:rPr>
          <w:b/>
          <w:color w:val="auto"/>
        </w:rPr>
        <w:t>Population Growth</w:t>
      </w:r>
      <w:bookmarkEnd w:id="16"/>
      <w:r w:rsidR="00AB26ED" w:rsidRPr="00273DC5">
        <w:rPr>
          <w:b/>
          <w:color w:val="auto"/>
        </w:rPr>
        <w:t xml:space="preserve"> </w:t>
      </w:r>
    </w:p>
    <w:p w:rsidR="00B94F8C" w:rsidRPr="00167882" w:rsidRDefault="00B94F8C" w:rsidP="00A23892">
      <w:pPr>
        <w:pStyle w:val="Default"/>
        <w:jc w:val="both"/>
        <w:rPr>
          <w:rFonts w:asciiTheme="majorHAnsi" w:hAnsiTheme="majorHAnsi" w:cs="Arial"/>
          <w:color w:val="auto"/>
        </w:rPr>
      </w:pPr>
      <w:r w:rsidRPr="00167882">
        <w:rPr>
          <w:rFonts w:asciiTheme="majorHAnsi" w:hAnsiTheme="majorHAnsi"/>
          <w:color w:val="auto"/>
        </w:rPr>
        <w:t xml:space="preserve">The youthful age structure of Zimbabwe’s population presents a high potential for rapid population growth as well as high dependency burden. </w:t>
      </w:r>
      <w:r w:rsidR="00AC199B" w:rsidRPr="00167882">
        <w:rPr>
          <w:rFonts w:asciiTheme="majorHAnsi" w:hAnsiTheme="majorHAnsi" w:cs="Arial"/>
          <w:color w:val="auto"/>
        </w:rPr>
        <w:t>Zimbabwe’s population has grown by 74% from 1982 to 2012, registering an average annual growth of 3.1%, 1.1% and 1.2% between 1982 and 1992, 1992 and 2002, and 2002 and 2012, respectively</w:t>
      </w:r>
      <w:r w:rsidR="00307871">
        <w:rPr>
          <w:rFonts w:asciiTheme="majorHAnsi" w:hAnsiTheme="majorHAnsi" w:cs="Arial"/>
          <w:color w:val="auto"/>
        </w:rPr>
        <w:t xml:space="preserve"> (</w:t>
      </w:r>
      <w:proofErr w:type="spellStart"/>
      <w:r w:rsidR="00307871">
        <w:rPr>
          <w:rFonts w:asciiTheme="majorHAnsi" w:hAnsiTheme="majorHAnsi" w:cs="Arial"/>
          <w:color w:val="auto"/>
        </w:rPr>
        <w:t>Zimstat</w:t>
      </w:r>
      <w:proofErr w:type="spellEnd"/>
      <w:r w:rsidR="00307871">
        <w:rPr>
          <w:rFonts w:asciiTheme="majorHAnsi" w:hAnsiTheme="majorHAnsi" w:cs="Arial"/>
          <w:color w:val="auto"/>
        </w:rPr>
        <w:t>, 2013)</w:t>
      </w:r>
      <w:r w:rsidR="00AC199B" w:rsidRPr="00167882">
        <w:rPr>
          <w:rFonts w:asciiTheme="majorHAnsi" w:hAnsiTheme="majorHAnsi" w:cs="Arial"/>
          <w:color w:val="auto"/>
        </w:rPr>
        <w:t xml:space="preserve">. At the 2002-2012 annual growth rate of 1.2% the population of Zimbabwe is expected to double in 58 years. </w:t>
      </w:r>
    </w:p>
    <w:p w:rsidR="00AB26ED" w:rsidRPr="00167882" w:rsidRDefault="00AB26ED" w:rsidP="00A23892">
      <w:pPr>
        <w:pStyle w:val="Default"/>
        <w:jc w:val="both"/>
        <w:rPr>
          <w:rFonts w:asciiTheme="majorHAnsi" w:hAnsiTheme="majorHAnsi" w:cs="Arial"/>
          <w:color w:val="auto"/>
        </w:rPr>
      </w:pPr>
    </w:p>
    <w:p w:rsidR="00AB26ED" w:rsidRPr="00167882" w:rsidRDefault="00696C18" w:rsidP="00A23892">
      <w:pPr>
        <w:spacing w:after="0" w:line="240" w:lineRule="auto"/>
        <w:jc w:val="both"/>
        <w:rPr>
          <w:rFonts w:asciiTheme="majorHAnsi" w:hAnsiTheme="majorHAnsi"/>
          <w:sz w:val="24"/>
          <w:szCs w:val="24"/>
        </w:rPr>
      </w:pPr>
      <w:r w:rsidRPr="00167882">
        <w:rPr>
          <w:rFonts w:asciiTheme="majorHAnsi" w:hAnsiTheme="majorHAnsi"/>
          <w:noProof/>
          <w:sz w:val="24"/>
          <w:szCs w:val="24"/>
          <w:lang w:eastAsia="en-ZW"/>
        </w:rPr>
        <w:lastRenderedPageBreak/>
        <w:drawing>
          <wp:anchor distT="0" distB="0" distL="114300" distR="114300" simplePos="0" relativeHeight="251669504" behindDoc="0" locked="0" layoutInCell="1" allowOverlap="1" wp14:anchorId="40E0D8DF" wp14:editId="0CECC5B2">
            <wp:simplePos x="0" y="0"/>
            <wp:positionH relativeFrom="column">
              <wp:posOffset>85725</wp:posOffset>
            </wp:positionH>
            <wp:positionV relativeFrom="paragraph">
              <wp:posOffset>585470</wp:posOffset>
            </wp:positionV>
            <wp:extent cx="2419350" cy="2080260"/>
            <wp:effectExtent l="0" t="0" r="0" b="15240"/>
            <wp:wrapSquare wrapText="bothSides"/>
            <wp:docPr id="11"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r w:rsidR="00993399" w:rsidRPr="00167882">
        <w:rPr>
          <w:rFonts w:asciiTheme="majorHAnsi" w:hAnsiTheme="majorHAnsi"/>
          <w:sz w:val="24"/>
          <w:szCs w:val="24"/>
        </w:rPr>
        <w:t>D</w:t>
      </w:r>
      <w:r w:rsidR="00AB26ED" w:rsidRPr="00167882">
        <w:rPr>
          <w:rFonts w:asciiTheme="majorHAnsi" w:hAnsiTheme="majorHAnsi"/>
          <w:sz w:val="24"/>
          <w:szCs w:val="24"/>
        </w:rPr>
        <w:t xml:space="preserve">uring the first decade of independence the age group 65+ grew fastest. This reflects improvements in life expectancy during this period due to </w:t>
      </w:r>
      <w:r w:rsidR="00D53ACE" w:rsidRPr="00167882">
        <w:rPr>
          <w:rFonts w:asciiTheme="majorHAnsi" w:hAnsiTheme="majorHAnsi"/>
          <w:sz w:val="24"/>
          <w:szCs w:val="24"/>
        </w:rPr>
        <w:t>progress made</w:t>
      </w:r>
      <w:r w:rsidR="00AB26ED" w:rsidRPr="00167882">
        <w:rPr>
          <w:rFonts w:asciiTheme="majorHAnsi" w:hAnsiTheme="majorHAnsi"/>
          <w:sz w:val="24"/>
          <w:szCs w:val="24"/>
        </w:rPr>
        <w:t xml:space="preserve"> in the health delivery system. The age-pattern of growth for 1992-2002 is similar to that for the previous decade yet the growth rates are slower.</w:t>
      </w:r>
      <w:r w:rsidR="003847F6" w:rsidRPr="00167882">
        <w:rPr>
          <w:rFonts w:asciiTheme="majorHAnsi" w:hAnsiTheme="majorHAnsi"/>
          <w:sz w:val="24"/>
          <w:szCs w:val="24"/>
        </w:rPr>
        <w:t xml:space="preserve"> During this period, HIV and AIDS-related deaths had a huge impact on the population. </w:t>
      </w:r>
      <w:r w:rsidR="00AB26ED" w:rsidRPr="00167882">
        <w:rPr>
          <w:rFonts w:asciiTheme="majorHAnsi" w:hAnsiTheme="majorHAnsi"/>
          <w:sz w:val="24"/>
          <w:szCs w:val="24"/>
        </w:rPr>
        <w:t>Between 2002 and 2012, the pattern of growth is complete</w:t>
      </w:r>
      <w:r w:rsidR="003847F6" w:rsidRPr="00167882">
        <w:rPr>
          <w:rFonts w:asciiTheme="majorHAnsi" w:hAnsiTheme="majorHAnsi"/>
          <w:sz w:val="24"/>
          <w:szCs w:val="24"/>
        </w:rPr>
        <w:t>ly</w:t>
      </w:r>
      <w:r w:rsidR="00AB26ED" w:rsidRPr="00167882">
        <w:rPr>
          <w:rFonts w:asciiTheme="majorHAnsi" w:hAnsiTheme="majorHAnsi"/>
          <w:sz w:val="24"/>
          <w:szCs w:val="24"/>
        </w:rPr>
        <w:t xml:space="preserve"> revers</w:t>
      </w:r>
      <w:r w:rsidR="003847F6" w:rsidRPr="00167882">
        <w:rPr>
          <w:rFonts w:asciiTheme="majorHAnsi" w:hAnsiTheme="majorHAnsi"/>
          <w:sz w:val="24"/>
          <w:szCs w:val="24"/>
        </w:rPr>
        <w:t>ed.</w:t>
      </w:r>
      <w:r w:rsidR="00AB26ED" w:rsidRPr="00167882">
        <w:rPr>
          <w:rFonts w:asciiTheme="majorHAnsi" w:hAnsiTheme="majorHAnsi"/>
          <w:sz w:val="24"/>
          <w:szCs w:val="24"/>
        </w:rPr>
        <w:t xml:space="preserve">  The age 0-14 grew fastest which could reflect the positive impact on birth</w:t>
      </w:r>
      <w:r w:rsidR="00E3049C" w:rsidRPr="00167882">
        <w:rPr>
          <w:rFonts w:asciiTheme="majorHAnsi" w:hAnsiTheme="majorHAnsi"/>
          <w:sz w:val="24"/>
          <w:szCs w:val="24"/>
        </w:rPr>
        <w:t>s</w:t>
      </w:r>
      <w:r w:rsidR="00AB26ED" w:rsidRPr="00167882">
        <w:rPr>
          <w:rFonts w:asciiTheme="majorHAnsi" w:hAnsiTheme="majorHAnsi"/>
          <w:sz w:val="24"/>
          <w:szCs w:val="24"/>
        </w:rPr>
        <w:t xml:space="preserve"> of the </w:t>
      </w:r>
      <w:r w:rsidR="00E3049C" w:rsidRPr="00167882">
        <w:rPr>
          <w:rStyle w:val="tgc"/>
          <w:rFonts w:asciiTheme="majorHAnsi" w:hAnsiTheme="majorHAnsi" w:cs="Arial"/>
          <w:sz w:val="24"/>
          <w:szCs w:val="24"/>
        </w:rPr>
        <w:t>Prevention of Mother-to-Child Transmission (</w:t>
      </w:r>
      <w:r w:rsidR="00E3049C" w:rsidRPr="00167882">
        <w:rPr>
          <w:rStyle w:val="tgc"/>
          <w:rFonts w:asciiTheme="majorHAnsi" w:hAnsiTheme="majorHAnsi" w:cs="Arial"/>
          <w:bCs/>
          <w:sz w:val="24"/>
          <w:szCs w:val="24"/>
        </w:rPr>
        <w:t>PMTCT</w:t>
      </w:r>
      <w:r w:rsidR="00E3049C" w:rsidRPr="00167882">
        <w:rPr>
          <w:rStyle w:val="tgc"/>
          <w:rFonts w:asciiTheme="majorHAnsi" w:hAnsiTheme="majorHAnsi" w:cs="Arial"/>
          <w:sz w:val="24"/>
          <w:szCs w:val="24"/>
        </w:rPr>
        <w:t xml:space="preserve">) of HIV </w:t>
      </w:r>
      <w:r w:rsidR="00AB26ED" w:rsidRPr="00167882">
        <w:rPr>
          <w:rFonts w:asciiTheme="majorHAnsi" w:hAnsiTheme="majorHAnsi"/>
          <w:sz w:val="24"/>
          <w:szCs w:val="24"/>
        </w:rPr>
        <w:t>programme during this period</w:t>
      </w:r>
      <w:r w:rsidR="00831CF8" w:rsidRPr="00167882">
        <w:rPr>
          <w:rFonts w:asciiTheme="majorHAnsi" w:hAnsiTheme="majorHAnsi"/>
          <w:sz w:val="24"/>
          <w:szCs w:val="24"/>
        </w:rPr>
        <w:t xml:space="preserve"> and the fall in HIV prevalence rates</w:t>
      </w:r>
      <w:r w:rsidR="00AB26ED" w:rsidRPr="00167882">
        <w:rPr>
          <w:rFonts w:asciiTheme="majorHAnsi" w:hAnsiTheme="majorHAnsi"/>
          <w:sz w:val="24"/>
          <w:szCs w:val="24"/>
        </w:rPr>
        <w:t xml:space="preserve">. Since the youngest age group is growing fastest, the population of Zimbabwe may experience rapid growth in future due to population momentum. </w:t>
      </w:r>
    </w:p>
    <w:p w:rsidR="00AB26ED" w:rsidRPr="00167882" w:rsidRDefault="006D6815" w:rsidP="00A23892">
      <w:pPr>
        <w:spacing w:after="0" w:line="240" w:lineRule="auto"/>
        <w:rPr>
          <w:rFonts w:asciiTheme="majorHAnsi" w:hAnsiTheme="majorHAnsi"/>
          <w:sz w:val="24"/>
          <w:szCs w:val="24"/>
        </w:rPr>
      </w:pPr>
      <w:r w:rsidRPr="00167882">
        <w:rPr>
          <w:rFonts w:asciiTheme="majorHAnsi" w:hAnsiTheme="majorHAnsi"/>
          <w:noProof/>
          <w:sz w:val="24"/>
          <w:szCs w:val="24"/>
          <w:lang w:eastAsia="en-ZW"/>
        </w:rPr>
        <w:t xml:space="preserve"> </w:t>
      </w:r>
    </w:p>
    <w:p w:rsidR="00BD4098" w:rsidRPr="00167882" w:rsidRDefault="00BD4098" w:rsidP="00BD4098">
      <w:pPr>
        <w:pStyle w:val="Default"/>
        <w:jc w:val="both"/>
        <w:rPr>
          <w:rFonts w:asciiTheme="majorHAnsi" w:hAnsiTheme="majorHAnsi" w:cs="Arial"/>
          <w:color w:val="auto"/>
          <w:sz w:val="20"/>
          <w:szCs w:val="20"/>
        </w:rPr>
      </w:pPr>
      <w:r w:rsidRPr="00167882">
        <w:rPr>
          <w:rFonts w:asciiTheme="majorHAnsi" w:hAnsiTheme="majorHAnsi" w:cs="Arial"/>
          <w:b/>
          <w:color w:val="auto"/>
          <w:sz w:val="20"/>
          <w:szCs w:val="20"/>
        </w:rPr>
        <w:t xml:space="preserve">Figure </w:t>
      </w:r>
      <w:r w:rsidR="004227AB">
        <w:rPr>
          <w:rFonts w:asciiTheme="majorHAnsi" w:hAnsiTheme="majorHAnsi" w:cs="Arial"/>
          <w:b/>
          <w:color w:val="auto"/>
          <w:sz w:val="20"/>
          <w:szCs w:val="20"/>
        </w:rPr>
        <w:t>18</w:t>
      </w:r>
      <w:r w:rsidRPr="00167882">
        <w:rPr>
          <w:rFonts w:asciiTheme="majorHAnsi" w:hAnsiTheme="majorHAnsi" w:cs="Arial"/>
          <w:color w:val="auto"/>
          <w:sz w:val="20"/>
          <w:szCs w:val="20"/>
        </w:rPr>
        <w:t xml:space="preserve"> Zimbabwe population in millions</w:t>
      </w:r>
    </w:p>
    <w:p w:rsidR="00BD4098" w:rsidRPr="00167882" w:rsidRDefault="00BD4098" w:rsidP="00BD4098">
      <w:pPr>
        <w:pStyle w:val="Default"/>
        <w:jc w:val="both"/>
        <w:rPr>
          <w:rFonts w:asciiTheme="majorHAnsi" w:hAnsiTheme="majorHAnsi" w:cs="Arial"/>
          <w:color w:val="auto"/>
          <w:sz w:val="20"/>
          <w:szCs w:val="20"/>
        </w:rPr>
      </w:pPr>
    </w:p>
    <w:p w:rsidR="00154EF4" w:rsidRPr="00273DC5" w:rsidRDefault="00292D93" w:rsidP="00136684">
      <w:pPr>
        <w:pStyle w:val="Heading2"/>
        <w:rPr>
          <w:rFonts w:cs="Arial"/>
          <w:b/>
          <w:color w:val="auto"/>
        </w:rPr>
      </w:pPr>
      <w:bookmarkStart w:id="17" w:name="_Toc432886497"/>
      <w:r w:rsidRPr="00273DC5">
        <w:rPr>
          <w:b/>
          <w:color w:val="auto"/>
        </w:rPr>
        <w:t xml:space="preserve">3.4 </w:t>
      </w:r>
      <w:r w:rsidR="00307871">
        <w:rPr>
          <w:b/>
          <w:color w:val="auto"/>
        </w:rPr>
        <w:t>Dependency R</w:t>
      </w:r>
      <w:r w:rsidR="00154EF4" w:rsidRPr="00273DC5">
        <w:rPr>
          <w:b/>
          <w:color w:val="auto"/>
        </w:rPr>
        <w:t>atios</w:t>
      </w:r>
      <w:bookmarkEnd w:id="17"/>
    </w:p>
    <w:p w:rsidR="00FB5C96" w:rsidRPr="00167882" w:rsidRDefault="00307871" w:rsidP="00A23892">
      <w:pPr>
        <w:pStyle w:val="Default"/>
        <w:jc w:val="both"/>
        <w:rPr>
          <w:rFonts w:asciiTheme="majorHAnsi" w:hAnsiTheme="majorHAnsi" w:cs="Arial"/>
          <w:color w:val="auto"/>
        </w:rPr>
      </w:pPr>
      <w:r w:rsidRPr="00167882">
        <w:rPr>
          <w:rStyle w:val="FootnoteReference"/>
          <w:rFonts w:asciiTheme="majorHAnsi" w:hAnsiTheme="majorHAnsi"/>
          <w:noProof/>
          <w:shd w:val="clear" w:color="auto" w:fill="FFFFFF"/>
          <w:lang w:eastAsia="en-ZW"/>
        </w:rPr>
        <w:drawing>
          <wp:anchor distT="0" distB="0" distL="114300" distR="114300" simplePos="0" relativeHeight="251688960" behindDoc="0" locked="0" layoutInCell="1" allowOverlap="1" wp14:anchorId="41291FB1" wp14:editId="61B1A16A">
            <wp:simplePos x="0" y="0"/>
            <wp:positionH relativeFrom="column">
              <wp:posOffset>-238125</wp:posOffset>
            </wp:positionH>
            <wp:positionV relativeFrom="paragraph">
              <wp:posOffset>618490</wp:posOffset>
            </wp:positionV>
            <wp:extent cx="4543425" cy="2516505"/>
            <wp:effectExtent l="0" t="0" r="0" b="0"/>
            <wp:wrapSquare wrapText="bothSides"/>
            <wp:docPr id="72"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r w:rsidR="00FB5C96" w:rsidRPr="00167882">
        <w:rPr>
          <w:rFonts w:asciiTheme="majorHAnsi" w:hAnsiTheme="majorHAnsi" w:cs="Arial"/>
          <w:color w:val="auto"/>
        </w:rPr>
        <w:t xml:space="preserve">The child dependency and overall dependency ratios are 70 and 83 per 100 working people, respectively. </w:t>
      </w:r>
      <w:r w:rsidR="00FB5C96" w:rsidRPr="00167882">
        <w:rPr>
          <w:rFonts w:asciiTheme="majorHAnsi" w:hAnsiTheme="majorHAnsi"/>
          <w:color w:val="auto"/>
        </w:rPr>
        <w:t>While in developed countries about two active persons support one dependent person, in Zimbabwe one active person supports one dependent. The population 65 years and above stands at 4.1% and has slightly increased from 3% in 1982. For developed countries, specifically the EU, this proportion is as high as 18.5%</w:t>
      </w:r>
      <w:r>
        <w:rPr>
          <w:rFonts w:asciiTheme="majorHAnsi" w:hAnsiTheme="majorHAnsi"/>
          <w:color w:val="auto"/>
        </w:rPr>
        <w:t xml:space="preserve"> (Eurostat, 2015)</w:t>
      </w:r>
      <w:r w:rsidR="00FB5C96" w:rsidRPr="00167882">
        <w:rPr>
          <w:rFonts w:asciiTheme="majorHAnsi" w:hAnsiTheme="majorHAnsi"/>
          <w:color w:val="auto"/>
        </w:rPr>
        <w:t>.</w:t>
      </w:r>
    </w:p>
    <w:p w:rsidR="006D3A85" w:rsidRPr="00167882" w:rsidRDefault="006D3A85" w:rsidP="00A23892">
      <w:pPr>
        <w:spacing w:after="0" w:line="240" w:lineRule="auto"/>
        <w:jc w:val="center"/>
        <w:rPr>
          <w:rFonts w:asciiTheme="majorHAnsi" w:hAnsiTheme="majorHAnsi"/>
          <w:sz w:val="24"/>
          <w:szCs w:val="24"/>
        </w:rPr>
      </w:pPr>
    </w:p>
    <w:p w:rsidR="00307871" w:rsidRDefault="00307871" w:rsidP="00A23892">
      <w:pPr>
        <w:spacing w:after="0" w:line="240" w:lineRule="auto"/>
        <w:jc w:val="both"/>
        <w:rPr>
          <w:rFonts w:asciiTheme="majorHAnsi" w:hAnsiTheme="majorHAnsi" w:cs="Times New Roman"/>
          <w:b/>
          <w:sz w:val="20"/>
          <w:szCs w:val="20"/>
        </w:rPr>
      </w:pPr>
    </w:p>
    <w:p w:rsidR="00307871" w:rsidRDefault="00307871" w:rsidP="00A23892">
      <w:pPr>
        <w:spacing w:after="0" w:line="240" w:lineRule="auto"/>
        <w:jc w:val="both"/>
        <w:rPr>
          <w:rFonts w:asciiTheme="majorHAnsi" w:hAnsiTheme="majorHAnsi" w:cs="Times New Roman"/>
          <w:b/>
          <w:sz w:val="20"/>
          <w:szCs w:val="20"/>
        </w:rPr>
      </w:pPr>
    </w:p>
    <w:p w:rsidR="00307871" w:rsidRDefault="00307871" w:rsidP="00A23892">
      <w:pPr>
        <w:spacing w:after="0" w:line="240" w:lineRule="auto"/>
        <w:jc w:val="both"/>
        <w:rPr>
          <w:rFonts w:asciiTheme="majorHAnsi" w:hAnsiTheme="majorHAnsi" w:cs="Times New Roman"/>
          <w:b/>
          <w:sz w:val="20"/>
          <w:szCs w:val="20"/>
        </w:rPr>
      </w:pPr>
    </w:p>
    <w:p w:rsidR="00307871" w:rsidRDefault="00307871" w:rsidP="00A23892">
      <w:pPr>
        <w:spacing w:after="0" w:line="240" w:lineRule="auto"/>
        <w:jc w:val="both"/>
        <w:rPr>
          <w:rFonts w:asciiTheme="majorHAnsi" w:hAnsiTheme="majorHAnsi" w:cs="Times New Roman"/>
          <w:b/>
          <w:sz w:val="20"/>
          <w:szCs w:val="20"/>
        </w:rPr>
      </w:pPr>
    </w:p>
    <w:p w:rsidR="00307871" w:rsidRDefault="00307871" w:rsidP="00A23892">
      <w:pPr>
        <w:spacing w:after="0" w:line="240" w:lineRule="auto"/>
        <w:jc w:val="both"/>
        <w:rPr>
          <w:rFonts w:asciiTheme="majorHAnsi" w:hAnsiTheme="majorHAnsi" w:cs="Times New Roman"/>
          <w:b/>
          <w:sz w:val="20"/>
          <w:szCs w:val="20"/>
        </w:rPr>
      </w:pPr>
    </w:p>
    <w:p w:rsidR="00957D22" w:rsidRPr="00167882" w:rsidRDefault="00957D22" w:rsidP="00A23892">
      <w:pPr>
        <w:spacing w:after="0" w:line="240" w:lineRule="auto"/>
        <w:jc w:val="both"/>
        <w:rPr>
          <w:rFonts w:asciiTheme="majorHAnsi" w:hAnsiTheme="majorHAnsi" w:cs="Times New Roman"/>
          <w:b/>
          <w:sz w:val="20"/>
          <w:szCs w:val="20"/>
        </w:rPr>
      </w:pPr>
      <w:r w:rsidRPr="00167882">
        <w:rPr>
          <w:rFonts w:asciiTheme="majorHAnsi" w:hAnsiTheme="majorHAnsi" w:cs="Times New Roman"/>
          <w:b/>
          <w:sz w:val="20"/>
          <w:szCs w:val="20"/>
        </w:rPr>
        <w:t xml:space="preserve">Figure </w:t>
      </w:r>
      <w:r w:rsidR="004227AB">
        <w:rPr>
          <w:rFonts w:asciiTheme="majorHAnsi" w:hAnsiTheme="majorHAnsi" w:cs="Times New Roman"/>
          <w:b/>
          <w:sz w:val="20"/>
          <w:szCs w:val="20"/>
        </w:rPr>
        <w:t>19</w:t>
      </w:r>
      <w:r w:rsidRPr="00167882">
        <w:rPr>
          <w:rFonts w:asciiTheme="majorHAnsi" w:hAnsiTheme="majorHAnsi" w:cs="Times New Roman"/>
          <w:b/>
          <w:sz w:val="20"/>
          <w:szCs w:val="20"/>
        </w:rPr>
        <w:t xml:space="preserve"> </w:t>
      </w:r>
      <w:r w:rsidRPr="00167882">
        <w:rPr>
          <w:rFonts w:asciiTheme="majorHAnsi" w:hAnsiTheme="majorHAnsi" w:cs="Times New Roman"/>
          <w:sz w:val="20"/>
          <w:szCs w:val="20"/>
        </w:rPr>
        <w:t>Population age composition comparisons</w:t>
      </w:r>
    </w:p>
    <w:p w:rsidR="003E2F8B" w:rsidRPr="00167882" w:rsidRDefault="003E2F8B" w:rsidP="00A23892">
      <w:pPr>
        <w:spacing w:after="0" w:line="240" w:lineRule="auto"/>
        <w:jc w:val="both"/>
        <w:rPr>
          <w:rFonts w:asciiTheme="majorHAnsi" w:hAnsiTheme="majorHAnsi" w:cs="Times New Roman"/>
          <w:sz w:val="20"/>
          <w:szCs w:val="20"/>
        </w:rPr>
      </w:pPr>
      <w:r w:rsidRPr="00167882">
        <w:rPr>
          <w:rFonts w:asciiTheme="majorHAnsi" w:hAnsiTheme="majorHAnsi" w:cs="Times New Roman"/>
          <w:i/>
          <w:sz w:val="20"/>
          <w:szCs w:val="20"/>
        </w:rPr>
        <w:t>Source:</w:t>
      </w:r>
      <w:r w:rsidRPr="00167882">
        <w:rPr>
          <w:rFonts w:asciiTheme="majorHAnsi" w:hAnsiTheme="majorHAnsi" w:cs="Times New Roman"/>
          <w:sz w:val="20"/>
          <w:szCs w:val="20"/>
        </w:rPr>
        <w:t xml:space="preserve"> Zimbabwe 2012 Census and Population Reference Bureau 2012 Population Data Sheet </w:t>
      </w:r>
    </w:p>
    <w:p w:rsidR="0041530D" w:rsidRPr="00273DC5" w:rsidRDefault="00292D93" w:rsidP="00136684">
      <w:pPr>
        <w:pStyle w:val="Heading1"/>
        <w:rPr>
          <w:b/>
          <w:noProof/>
          <w:color w:val="auto"/>
          <w:lang w:eastAsia="en-ZW"/>
        </w:rPr>
      </w:pPr>
      <w:bookmarkStart w:id="18" w:name="_Toc432886498"/>
      <w:r w:rsidRPr="00273DC5">
        <w:rPr>
          <w:b/>
          <w:color w:val="auto"/>
        </w:rPr>
        <w:lastRenderedPageBreak/>
        <w:t xml:space="preserve">4.0 </w:t>
      </w:r>
      <w:r w:rsidR="000E7F0E" w:rsidRPr="00273DC5">
        <w:rPr>
          <w:b/>
          <w:color w:val="auto"/>
        </w:rPr>
        <w:t>POPULATION PROJECTIONS</w:t>
      </w:r>
      <w:bookmarkEnd w:id="18"/>
    </w:p>
    <w:p w:rsidR="0046353C" w:rsidRPr="00167882" w:rsidRDefault="00696C18" w:rsidP="00A23892">
      <w:pPr>
        <w:spacing w:after="0" w:line="240" w:lineRule="auto"/>
        <w:jc w:val="both"/>
        <w:rPr>
          <w:rFonts w:asciiTheme="majorHAnsi" w:hAnsiTheme="majorHAnsi"/>
          <w:noProof/>
          <w:sz w:val="24"/>
          <w:szCs w:val="24"/>
          <w:lang w:eastAsia="en-ZW"/>
        </w:rPr>
      </w:pPr>
      <w:r w:rsidRPr="00167882">
        <w:rPr>
          <w:noProof/>
          <w:lang w:eastAsia="en-ZW"/>
        </w:rPr>
        <w:drawing>
          <wp:anchor distT="0" distB="0" distL="114300" distR="114300" simplePos="0" relativeHeight="251670528" behindDoc="0" locked="0" layoutInCell="1" allowOverlap="1" wp14:anchorId="17D8D304" wp14:editId="7423EE75">
            <wp:simplePos x="0" y="0"/>
            <wp:positionH relativeFrom="column">
              <wp:posOffset>0</wp:posOffset>
            </wp:positionH>
            <wp:positionV relativeFrom="paragraph">
              <wp:posOffset>750570</wp:posOffset>
            </wp:positionV>
            <wp:extent cx="4019550" cy="2660015"/>
            <wp:effectExtent l="0" t="0" r="0" b="6985"/>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r w:rsidR="005A1382">
        <w:rPr>
          <w:rFonts w:asciiTheme="majorHAnsi" w:hAnsiTheme="majorHAnsi"/>
          <w:noProof/>
          <w:sz w:val="24"/>
          <w:szCs w:val="24"/>
          <w:lang w:eastAsia="en-ZW"/>
        </w:rPr>
        <w:t>The 2012 p</w:t>
      </w:r>
      <w:r w:rsidR="008B6E15" w:rsidRPr="00167882">
        <w:rPr>
          <w:rFonts w:asciiTheme="majorHAnsi" w:hAnsiTheme="majorHAnsi"/>
          <w:noProof/>
          <w:sz w:val="24"/>
          <w:szCs w:val="24"/>
          <w:lang w:eastAsia="en-ZW"/>
        </w:rPr>
        <w:t xml:space="preserve">opulation prjections assumed three scenarios; the high, medium and low scenario. The high scenario assumed a slower decline in fertility, the low scenario – a faster decline in fertility and the medium scenario assumed that fertility will decline at </w:t>
      </w:r>
      <w:r w:rsidR="009A0F65" w:rsidRPr="00167882">
        <w:rPr>
          <w:rFonts w:asciiTheme="majorHAnsi" w:hAnsiTheme="majorHAnsi"/>
          <w:noProof/>
          <w:sz w:val="24"/>
          <w:szCs w:val="24"/>
          <w:lang w:eastAsia="en-ZW"/>
        </w:rPr>
        <w:t xml:space="preserve">a </w:t>
      </w:r>
      <w:r w:rsidR="008B6E15" w:rsidRPr="00167882">
        <w:rPr>
          <w:rFonts w:asciiTheme="majorHAnsi" w:hAnsiTheme="majorHAnsi"/>
          <w:noProof/>
          <w:sz w:val="24"/>
          <w:szCs w:val="24"/>
          <w:lang w:eastAsia="en-ZW"/>
        </w:rPr>
        <w:t xml:space="preserve">rate in-between the high and low scenarios. </w:t>
      </w:r>
      <w:r w:rsidR="00D2571A" w:rsidRPr="00167882">
        <w:rPr>
          <w:rFonts w:asciiTheme="majorHAnsi" w:hAnsiTheme="majorHAnsi"/>
          <w:noProof/>
          <w:sz w:val="24"/>
          <w:szCs w:val="24"/>
          <w:lang w:eastAsia="en-ZW"/>
        </w:rPr>
        <w:t xml:space="preserve">For all the scenarios life expectancy was assumed to </w:t>
      </w:r>
      <w:r w:rsidR="004C6DBE" w:rsidRPr="00167882">
        <w:rPr>
          <w:rFonts w:asciiTheme="majorHAnsi" w:hAnsiTheme="majorHAnsi"/>
          <w:noProof/>
          <w:sz w:val="24"/>
          <w:szCs w:val="24"/>
          <w:lang w:eastAsia="en-ZW"/>
        </w:rPr>
        <w:t xml:space="preserve">increase to the same levels, the sex ratio was assumed to remain at the 2012 level and international migration was assumed to be zero. Only the low scenario assumed the impact of HIV and AIDS on the population. </w:t>
      </w:r>
      <w:r w:rsidR="00307871" w:rsidRPr="00167882">
        <w:rPr>
          <w:rFonts w:asciiTheme="majorHAnsi" w:hAnsiTheme="majorHAnsi"/>
          <w:noProof/>
          <w:sz w:val="24"/>
          <w:szCs w:val="24"/>
          <w:lang w:eastAsia="en-ZW"/>
        </w:rPr>
        <w:t>The population of Zimbabwe is projected to grow to between 19 million and 20 million in 2032.</w:t>
      </w:r>
    </w:p>
    <w:p w:rsidR="0046353C" w:rsidRDefault="0046353C" w:rsidP="00A23892">
      <w:pPr>
        <w:spacing w:after="0" w:line="240" w:lineRule="auto"/>
        <w:jc w:val="both"/>
        <w:rPr>
          <w:rFonts w:asciiTheme="majorHAnsi" w:hAnsiTheme="majorHAnsi"/>
          <w:noProof/>
          <w:sz w:val="24"/>
          <w:szCs w:val="24"/>
          <w:lang w:eastAsia="en-ZW"/>
        </w:rPr>
      </w:pPr>
    </w:p>
    <w:p w:rsidR="00307871" w:rsidRPr="00167882" w:rsidRDefault="00307871" w:rsidP="00A23892">
      <w:pPr>
        <w:spacing w:after="0" w:line="240" w:lineRule="auto"/>
        <w:jc w:val="both"/>
        <w:rPr>
          <w:rFonts w:asciiTheme="majorHAnsi" w:hAnsiTheme="majorHAnsi"/>
          <w:noProof/>
          <w:sz w:val="24"/>
          <w:szCs w:val="24"/>
          <w:lang w:eastAsia="en-ZW"/>
        </w:rPr>
      </w:pPr>
    </w:p>
    <w:p w:rsidR="006548AF" w:rsidRPr="00167882" w:rsidRDefault="006548AF" w:rsidP="00A23892">
      <w:pPr>
        <w:spacing w:after="0" w:line="240" w:lineRule="auto"/>
        <w:jc w:val="both"/>
        <w:rPr>
          <w:rFonts w:asciiTheme="majorHAnsi" w:hAnsiTheme="majorHAnsi"/>
          <w:noProof/>
          <w:sz w:val="20"/>
          <w:szCs w:val="20"/>
          <w:lang w:eastAsia="en-ZW"/>
        </w:rPr>
      </w:pPr>
      <w:r w:rsidRPr="00167882">
        <w:rPr>
          <w:rFonts w:asciiTheme="majorHAnsi" w:hAnsiTheme="majorHAnsi"/>
          <w:b/>
          <w:noProof/>
          <w:sz w:val="20"/>
          <w:szCs w:val="20"/>
          <w:lang w:eastAsia="en-ZW"/>
        </w:rPr>
        <w:t>Figure 2</w:t>
      </w:r>
      <w:r w:rsidR="004227AB">
        <w:rPr>
          <w:rFonts w:asciiTheme="majorHAnsi" w:hAnsiTheme="majorHAnsi"/>
          <w:b/>
          <w:noProof/>
          <w:sz w:val="20"/>
          <w:szCs w:val="20"/>
          <w:lang w:eastAsia="en-ZW"/>
        </w:rPr>
        <w:t>0</w:t>
      </w:r>
      <w:r w:rsidRPr="00167882">
        <w:rPr>
          <w:rFonts w:asciiTheme="majorHAnsi" w:hAnsiTheme="majorHAnsi"/>
          <w:noProof/>
          <w:sz w:val="20"/>
          <w:szCs w:val="20"/>
          <w:lang w:eastAsia="en-ZW"/>
        </w:rPr>
        <w:t xml:space="preserve"> Projected Zimbabwe Population, 2012 to 2032</w:t>
      </w:r>
    </w:p>
    <w:p w:rsidR="00CF00E3" w:rsidRPr="00167882" w:rsidRDefault="00CF00E3" w:rsidP="00A23892">
      <w:pPr>
        <w:spacing w:after="0" w:line="240" w:lineRule="auto"/>
        <w:jc w:val="both"/>
        <w:rPr>
          <w:rFonts w:asciiTheme="majorHAnsi" w:hAnsiTheme="majorHAnsi"/>
          <w:noProof/>
          <w:sz w:val="24"/>
          <w:szCs w:val="24"/>
          <w:lang w:eastAsia="en-ZW"/>
        </w:rPr>
      </w:pPr>
    </w:p>
    <w:p w:rsidR="0046353C" w:rsidRPr="00167882" w:rsidRDefault="00696C18" w:rsidP="00A23892">
      <w:pPr>
        <w:spacing w:after="0" w:line="240" w:lineRule="auto"/>
        <w:jc w:val="both"/>
        <w:rPr>
          <w:rFonts w:asciiTheme="majorHAnsi" w:hAnsiTheme="majorHAnsi"/>
          <w:noProof/>
          <w:sz w:val="24"/>
          <w:szCs w:val="24"/>
          <w:lang w:eastAsia="en-ZW"/>
        </w:rPr>
      </w:pPr>
      <w:r w:rsidRPr="00167882">
        <w:rPr>
          <w:rFonts w:asciiTheme="majorHAnsi" w:hAnsiTheme="majorHAnsi"/>
          <w:noProof/>
          <w:sz w:val="24"/>
          <w:szCs w:val="24"/>
          <w:lang w:eastAsia="en-ZW"/>
        </w:rPr>
        <w:drawing>
          <wp:anchor distT="0" distB="0" distL="114300" distR="114300" simplePos="0" relativeHeight="251672576" behindDoc="0" locked="0" layoutInCell="1" allowOverlap="1" wp14:anchorId="117C7DCA" wp14:editId="6FF2715E">
            <wp:simplePos x="0" y="0"/>
            <wp:positionH relativeFrom="column">
              <wp:posOffset>3009900</wp:posOffset>
            </wp:positionH>
            <wp:positionV relativeFrom="paragraph">
              <wp:posOffset>646430</wp:posOffset>
            </wp:positionV>
            <wp:extent cx="2637790" cy="2084705"/>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37790" cy="2084705"/>
                    </a:xfrm>
                    <a:prstGeom prst="rect">
                      <a:avLst/>
                    </a:prstGeom>
                    <a:noFill/>
                    <a:ln>
                      <a:noFill/>
                    </a:ln>
                  </pic:spPr>
                </pic:pic>
              </a:graphicData>
            </a:graphic>
          </wp:anchor>
        </w:drawing>
      </w:r>
      <w:r w:rsidRPr="00167882">
        <w:rPr>
          <w:rFonts w:asciiTheme="majorHAnsi" w:hAnsiTheme="majorHAnsi"/>
          <w:noProof/>
          <w:sz w:val="24"/>
          <w:szCs w:val="24"/>
          <w:lang w:eastAsia="en-ZW"/>
        </w:rPr>
        <w:drawing>
          <wp:anchor distT="0" distB="0" distL="114300" distR="114300" simplePos="0" relativeHeight="251671552" behindDoc="0" locked="0" layoutInCell="1" allowOverlap="1" wp14:anchorId="0994370C" wp14:editId="16107B10">
            <wp:simplePos x="0" y="0"/>
            <wp:positionH relativeFrom="column">
              <wp:posOffset>0</wp:posOffset>
            </wp:positionH>
            <wp:positionV relativeFrom="paragraph">
              <wp:posOffset>642620</wp:posOffset>
            </wp:positionV>
            <wp:extent cx="2855033" cy="2098416"/>
            <wp:effectExtent l="0" t="0" r="254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55033" cy="2098416"/>
                    </a:xfrm>
                    <a:prstGeom prst="rect">
                      <a:avLst/>
                    </a:prstGeom>
                    <a:noFill/>
                    <a:ln>
                      <a:noFill/>
                    </a:ln>
                  </pic:spPr>
                </pic:pic>
              </a:graphicData>
            </a:graphic>
          </wp:anchor>
        </w:drawing>
      </w:r>
      <w:r w:rsidR="0016231D" w:rsidRPr="00167882">
        <w:rPr>
          <w:rFonts w:asciiTheme="majorHAnsi" w:hAnsiTheme="majorHAnsi"/>
          <w:noProof/>
          <w:sz w:val="24"/>
          <w:szCs w:val="24"/>
          <w:lang w:eastAsia="en-ZW"/>
        </w:rPr>
        <w:t xml:space="preserve">The development of the age-structure of the population is expected to be more bell-shaped than pyramidal as we go into the future. </w:t>
      </w:r>
      <w:r w:rsidR="00B8469A" w:rsidRPr="00167882">
        <w:rPr>
          <w:rFonts w:asciiTheme="majorHAnsi" w:hAnsiTheme="majorHAnsi"/>
          <w:noProof/>
          <w:sz w:val="24"/>
          <w:szCs w:val="24"/>
          <w:lang w:eastAsia="en-ZW"/>
        </w:rPr>
        <w:t xml:space="preserve">This in in line with the assumption of declining fertility in the projections and improved longevity. </w:t>
      </w:r>
    </w:p>
    <w:p w:rsidR="0046353C" w:rsidRPr="00167882" w:rsidRDefault="00B8469A" w:rsidP="00A23892">
      <w:pPr>
        <w:spacing w:after="0" w:line="240" w:lineRule="auto"/>
        <w:jc w:val="both"/>
        <w:rPr>
          <w:rFonts w:asciiTheme="majorHAnsi" w:hAnsiTheme="majorHAnsi"/>
          <w:noProof/>
          <w:sz w:val="24"/>
          <w:szCs w:val="24"/>
          <w:lang w:eastAsia="en-ZW"/>
        </w:rPr>
      </w:pPr>
      <w:r w:rsidRPr="00167882">
        <w:rPr>
          <w:rFonts w:asciiTheme="majorHAnsi" w:hAnsiTheme="majorHAnsi"/>
          <w:noProof/>
          <w:sz w:val="24"/>
          <w:szCs w:val="24"/>
          <w:lang w:eastAsia="en-ZW"/>
        </w:rPr>
        <w:t xml:space="preserve"> </w:t>
      </w:r>
    </w:p>
    <w:p w:rsidR="006548AF" w:rsidRPr="005A1382" w:rsidRDefault="006548AF" w:rsidP="00A23892">
      <w:pPr>
        <w:autoSpaceDE w:val="0"/>
        <w:autoSpaceDN w:val="0"/>
        <w:adjustRightInd w:val="0"/>
        <w:spacing w:after="0" w:line="240" w:lineRule="auto"/>
        <w:rPr>
          <w:rFonts w:asciiTheme="majorHAnsi" w:hAnsiTheme="majorHAnsi"/>
          <w:noProof/>
          <w:sz w:val="18"/>
          <w:szCs w:val="18"/>
          <w:lang w:eastAsia="en-ZW"/>
        </w:rPr>
      </w:pPr>
      <w:r w:rsidRPr="00167882">
        <w:rPr>
          <w:rFonts w:asciiTheme="majorHAnsi" w:hAnsiTheme="majorHAnsi"/>
          <w:b/>
          <w:noProof/>
          <w:sz w:val="20"/>
          <w:szCs w:val="20"/>
          <w:lang w:eastAsia="en-ZW"/>
        </w:rPr>
        <w:t>Figure 2</w:t>
      </w:r>
      <w:r w:rsidR="004227AB">
        <w:rPr>
          <w:rFonts w:asciiTheme="majorHAnsi" w:hAnsiTheme="majorHAnsi"/>
          <w:b/>
          <w:noProof/>
          <w:sz w:val="20"/>
          <w:szCs w:val="20"/>
          <w:lang w:eastAsia="en-ZW"/>
        </w:rPr>
        <w:t>1</w:t>
      </w:r>
      <w:r w:rsidRPr="00167882">
        <w:rPr>
          <w:rFonts w:asciiTheme="majorHAnsi" w:hAnsiTheme="majorHAnsi"/>
          <w:noProof/>
          <w:sz w:val="20"/>
          <w:szCs w:val="20"/>
          <w:lang w:eastAsia="en-ZW"/>
        </w:rPr>
        <w:t xml:space="preserve"> Population pyramids, 2012 and 2032</w:t>
      </w:r>
      <w:r w:rsidR="005A1382">
        <w:rPr>
          <w:rFonts w:asciiTheme="majorHAnsi" w:hAnsiTheme="majorHAnsi"/>
          <w:noProof/>
          <w:sz w:val="20"/>
          <w:szCs w:val="20"/>
          <w:lang w:eastAsia="en-ZW"/>
        </w:rPr>
        <w:tab/>
      </w:r>
      <w:r w:rsidR="005A1382" w:rsidRPr="005A1382">
        <w:rPr>
          <w:rFonts w:asciiTheme="majorHAnsi" w:hAnsiTheme="majorHAnsi" w:cs="Arial"/>
          <w:b/>
          <w:sz w:val="18"/>
          <w:szCs w:val="18"/>
          <w:lang w:val="en-US"/>
        </w:rPr>
        <w:t>Figure 2</w:t>
      </w:r>
      <w:r w:rsidR="004227AB">
        <w:rPr>
          <w:rFonts w:asciiTheme="majorHAnsi" w:hAnsiTheme="majorHAnsi" w:cs="Arial"/>
          <w:b/>
          <w:sz w:val="18"/>
          <w:szCs w:val="18"/>
          <w:lang w:val="en-US"/>
        </w:rPr>
        <w:t>2</w:t>
      </w:r>
      <w:r w:rsidR="005A1382" w:rsidRPr="005A1382">
        <w:rPr>
          <w:rFonts w:asciiTheme="majorHAnsi" w:hAnsiTheme="majorHAnsi" w:cs="Arial"/>
          <w:sz w:val="18"/>
          <w:szCs w:val="18"/>
          <w:lang w:val="en-US"/>
        </w:rPr>
        <w:t xml:space="preserve"> Projected </w:t>
      </w:r>
      <w:r w:rsidR="005A1382" w:rsidRPr="005A1382">
        <w:rPr>
          <w:rFonts w:asciiTheme="majorHAnsi" w:hAnsiTheme="majorHAnsi" w:cs="Arial"/>
          <w:bCs/>
          <w:sz w:val="18"/>
          <w:szCs w:val="18"/>
        </w:rPr>
        <w:t>Population Composition, 2012 and 2032</w:t>
      </w:r>
    </w:p>
    <w:p w:rsidR="00307871" w:rsidRDefault="00307871" w:rsidP="00307871">
      <w:pPr>
        <w:autoSpaceDE w:val="0"/>
        <w:autoSpaceDN w:val="0"/>
        <w:adjustRightInd w:val="0"/>
        <w:spacing w:after="0" w:line="240" w:lineRule="auto"/>
        <w:rPr>
          <w:rFonts w:asciiTheme="majorHAnsi" w:hAnsiTheme="majorHAnsi"/>
          <w:noProof/>
          <w:sz w:val="24"/>
          <w:szCs w:val="24"/>
          <w:lang w:eastAsia="en-ZW"/>
        </w:rPr>
      </w:pPr>
    </w:p>
    <w:p w:rsidR="00307871" w:rsidRPr="004227AB" w:rsidRDefault="00B36F3A" w:rsidP="004227AB">
      <w:pPr>
        <w:autoSpaceDE w:val="0"/>
        <w:autoSpaceDN w:val="0"/>
        <w:adjustRightInd w:val="0"/>
        <w:spacing w:after="0" w:line="240" w:lineRule="auto"/>
        <w:jc w:val="both"/>
        <w:rPr>
          <w:rFonts w:asciiTheme="majorHAnsi" w:hAnsiTheme="majorHAnsi"/>
          <w:noProof/>
          <w:sz w:val="24"/>
          <w:szCs w:val="24"/>
          <w:lang w:eastAsia="en-ZW"/>
        </w:rPr>
      </w:pPr>
      <w:r w:rsidRPr="00167882">
        <w:rPr>
          <w:rFonts w:asciiTheme="majorHAnsi" w:hAnsiTheme="majorHAnsi"/>
          <w:noProof/>
          <w:sz w:val="24"/>
          <w:szCs w:val="24"/>
          <w:lang w:eastAsia="en-ZW"/>
        </w:rPr>
        <w:t>As a result</w:t>
      </w:r>
      <w:r w:rsidR="005A1382">
        <w:rPr>
          <w:rFonts w:asciiTheme="majorHAnsi" w:hAnsiTheme="majorHAnsi"/>
          <w:noProof/>
          <w:sz w:val="24"/>
          <w:szCs w:val="24"/>
          <w:lang w:eastAsia="en-ZW"/>
        </w:rPr>
        <w:t>,</w:t>
      </w:r>
      <w:r w:rsidRPr="00167882">
        <w:rPr>
          <w:rFonts w:asciiTheme="majorHAnsi" w:hAnsiTheme="majorHAnsi"/>
          <w:noProof/>
          <w:sz w:val="24"/>
          <w:szCs w:val="24"/>
          <w:lang w:eastAsia="en-ZW"/>
        </w:rPr>
        <w:t xml:space="preserve"> the age composition of of the population is expected to have significantly changed</w:t>
      </w:r>
      <w:r w:rsidR="009D3B44" w:rsidRPr="00167882">
        <w:rPr>
          <w:rFonts w:asciiTheme="majorHAnsi" w:hAnsiTheme="majorHAnsi"/>
          <w:noProof/>
          <w:sz w:val="24"/>
          <w:szCs w:val="24"/>
          <w:lang w:eastAsia="en-ZW"/>
        </w:rPr>
        <w:t xml:space="preserve"> by 2032. The proportion of the young population is expected to decline in 2032 and that of the labour force is expected to rise. The proportion of the elderly will largely remain unchanged. </w:t>
      </w:r>
      <w:r w:rsidR="00713379" w:rsidRPr="00167882">
        <w:rPr>
          <w:rFonts w:asciiTheme="majorHAnsi" w:hAnsiTheme="majorHAnsi"/>
          <w:noProof/>
          <w:sz w:val="24"/>
          <w:szCs w:val="24"/>
          <w:lang w:eastAsia="en-ZW"/>
        </w:rPr>
        <w:t>The dependency ratio will decline from 83 per 100 in 2012 to 57 per 100 in 20</w:t>
      </w:r>
      <w:r w:rsidR="00E65235">
        <w:rPr>
          <w:rFonts w:asciiTheme="majorHAnsi" w:hAnsiTheme="majorHAnsi"/>
          <w:noProof/>
          <w:sz w:val="24"/>
          <w:szCs w:val="24"/>
          <w:lang w:eastAsia="en-ZW"/>
        </w:rPr>
        <w:t>32</w:t>
      </w:r>
      <w:r w:rsidR="00713379" w:rsidRPr="00167882">
        <w:rPr>
          <w:rFonts w:asciiTheme="majorHAnsi" w:hAnsiTheme="majorHAnsi"/>
          <w:noProof/>
          <w:sz w:val="24"/>
          <w:szCs w:val="24"/>
          <w:lang w:eastAsia="en-ZW"/>
        </w:rPr>
        <w:t xml:space="preserve">. </w:t>
      </w:r>
      <w:r w:rsidR="004227AB">
        <w:rPr>
          <w:rFonts w:asciiTheme="majorHAnsi" w:hAnsiTheme="majorHAnsi"/>
          <w:noProof/>
          <w:sz w:val="24"/>
          <w:szCs w:val="24"/>
          <w:lang w:eastAsia="en-ZW"/>
        </w:rPr>
        <w:t xml:space="preserve"> </w:t>
      </w:r>
      <w:r w:rsidR="004D50F0" w:rsidRPr="004227AB">
        <w:rPr>
          <w:rFonts w:asciiTheme="majorHAnsi" w:hAnsiTheme="majorHAnsi" w:cs="Arial"/>
          <w:sz w:val="24"/>
          <w:szCs w:val="24"/>
          <w:lang w:val="en-US"/>
        </w:rPr>
        <w:t xml:space="preserve">The reduction in the dependency ratio would augur well for economic development as the Government would </w:t>
      </w:r>
      <w:r w:rsidR="00E6303E" w:rsidRPr="004227AB">
        <w:rPr>
          <w:rFonts w:asciiTheme="majorHAnsi" w:hAnsiTheme="majorHAnsi" w:cs="Arial"/>
          <w:sz w:val="24"/>
          <w:szCs w:val="24"/>
          <w:lang w:val="en-US"/>
        </w:rPr>
        <w:t xml:space="preserve">have </w:t>
      </w:r>
      <w:r w:rsidR="004D50F0" w:rsidRPr="004227AB">
        <w:rPr>
          <w:rFonts w:asciiTheme="majorHAnsi" w:hAnsiTheme="majorHAnsi" w:cs="Arial"/>
          <w:sz w:val="24"/>
          <w:szCs w:val="24"/>
          <w:lang w:val="en-US"/>
        </w:rPr>
        <w:t xml:space="preserve">a relatively larger </w:t>
      </w:r>
      <w:proofErr w:type="spellStart"/>
      <w:r w:rsidR="004D50F0" w:rsidRPr="004227AB">
        <w:rPr>
          <w:rFonts w:asciiTheme="majorHAnsi" w:hAnsiTheme="majorHAnsi" w:cs="Arial"/>
          <w:sz w:val="24"/>
          <w:szCs w:val="24"/>
          <w:lang w:val="en-US"/>
        </w:rPr>
        <w:t>labour</w:t>
      </w:r>
      <w:proofErr w:type="spellEnd"/>
      <w:r w:rsidR="004D50F0" w:rsidRPr="004227AB">
        <w:rPr>
          <w:rFonts w:asciiTheme="majorHAnsi" w:hAnsiTheme="majorHAnsi" w:cs="Arial"/>
          <w:sz w:val="24"/>
          <w:szCs w:val="24"/>
          <w:lang w:val="en-US"/>
        </w:rPr>
        <w:t xml:space="preserve"> force </w:t>
      </w:r>
      <w:r w:rsidR="00E6303E" w:rsidRPr="004227AB">
        <w:rPr>
          <w:rFonts w:asciiTheme="majorHAnsi" w:hAnsiTheme="majorHAnsi" w:cs="Arial"/>
          <w:sz w:val="24"/>
          <w:szCs w:val="24"/>
          <w:lang w:val="en-US"/>
        </w:rPr>
        <w:t>to</w:t>
      </w:r>
      <w:r w:rsidR="004D50F0" w:rsidRPr="004227AB">
        <w:rPr>
          <w:rFonts w:asciiTheme="majorHAnsi" w:hAnsiTheme="majorHAnsi" w:cs="Arial"/>
          <w:sz w:val="24"/>
          <w:szCs w:val="24"/>
          <w:lang w:val="en-US"/>
        </w:rPr>
        <w:t xml:space="preserve"> support fewer dependency. </w:t>
      </w:r>
    </w:p>
    <w:p w:rsidR="00307871" w:rsidRPr="004227AB" w:rsidRDefault="00307871" w:rsidP="00307871">
      <w:pPr>
        <w:autoSpaceDE w:val="0"/>
        <w:autoSpaceDN w:val="0"/>
        <w:adjustRightInd w:val="0"/>
        <w:spacing w:after="0" w:line="240" w:lineRule="auto"/>
        <w:rPr>
          <w:rFonts w:asciiTheme="majorHAnsi" w:hAnsiTheme="majorHAnsi" w:cs="Arial"/>
          <w:sz w:val="24"/>
          <w:szCs w:val="24"/>
          <w:lang w:val="en-US"/>
        </w:rPr>
      </w:pPr>
    </w:p>
    <w:p w:rsidR="00307871" w:rsidRDefault="00307871" w:rsidP="00307871">
      <w:pPr>
        <w:autoSpaceDE w:val="0"/>
        <w:autoSpaceDN w:val="0"/>
        <w:adjustRightInd w:val="0"/>
        <w:spacing w:after="0" w:line="240" w:lineRule="auto"/>
        <w:rPr>
          <w:rFonts w:asciiTheme="majorHAnsi" w:hAnsiTheme="majorHAnsi" w:cs="Arial"/>
          <w:lang w:val="en-US"/>
        </w:rPr>
      </w:pPr>
    </w:p>
    <w:p w:rsidR="00C23916" w:rsidRPr="00307871" w:rsidRDefault="004D50F0" w:rsidP="00307871">
      <w:pPr>
        <w:autoSpaceDE w:val="0"/>
        <w:autoSpaceDN w:val="0"/>
        <w:adjustRightInd w:val="0"/>
        <w:spacing w:after="0" w:line="240" w:lineRule="auto"/>
        <w:rPr>
          <w:rFonts w:asciiTheme="majorHAnsi" w:hAnsiTheme="majorHAnsi"/>
          <w:noProof/>
          <w:sz w:val="24"/>
          <w:szCs w:val="24"/>
          <w:lang w:eastAsia="en-ZW"/>
        </w:rPr>
      </w:pPr>
      <w:r w:rsidRPr="00167882">
        <w:rPr>
          <w:rFonts w:asciiTheme="majorHAnsi" w:hAnsiTheme="majorHAnsi" w:cs="Arial"/>
          <w:lang w:val="en-US"/>
        </w:rPr>
        <w:t xml:space="preserve">The </w:t>
      </w:r>
      <w:r w:rsidR="00C23916" w:rsidRPr="00167882">
        <w:rPr>
          <w:rFonts w:asciiTheme="majorHAnsi" w:hAnsiTheme="majorHAnsi" w:cs="Arial"/>
          <w:lang w:val="en-US"/>
        </w:rPr>
        <w:t>economically inactive under 1</w:t>
      </w:r>
      <w:r w:rsidRPr="00167882">
        <w:rPr>
          <w:rFonts w:asciiTheme="majorHAnsi" w:hAnsiTheme="majorHAnsi" w:cs="Arial"/>
          <w:lang w:val="en-US"/>
        </w:rPr>
        <w:t>5</w:t>
      </w:r>
      <w:r w:rsidR="00C23916" w:rsidRPr="00167882">
        <w:rPr>
          <w:rFonts w:asciiTheme="majorHAnsi" w:hAnsiTheme="majorHAnsi" w:cs="Arial"/>
          <w:lang w:val="en-US"/>
        </w:rPr>
        <w:t xml:space="preserve"> and over 65 also tend to be bigger recipients of government spending e.g. education, pensions and health care.</w:t>
      </w:r>
    </w:p>
    <w:p w:rsidR="00753A15" w:rsidRDefault="00DF16F1" w:rsidP="00A23892">
      <w:pPr>
        <w:pStyle w:val="NormalWeb"/>
        <w:shd w:val="clear" w:color="auto" w:fill="FFFFFF"/>
        <w:spacing w:after="0"/>
        <w:jc w:val="both"/>
        <w:rPr>
          <w:rFonts w:asciiTheme="majorHAnsi" w:hAnsiTheme="majorHAnsi" w:cs="Arial"/>
          <w:lang w:val="en-US"/>
        </w:rPr>
      </w:pPr>
      <w:r w:rsidRPr="00167882">
        <w:rPr>
          <w:rFonts w:asciiTheme="majorHAnsi" w:hAnsiTheme="majorHAnsi"/>
          <w:noProof/>
        </w:rPr>
        <w:drawing>
          <wp:anchor distT="0" distB="0" distL="114300" distR="114300" simplePos="0" relativeHeight="251673600" behindDoc="0" locked="0" layoutInCell="1" allowOverlap="1" wp14:anchorId="57E40EFF" wp14:editId="63201EFB">
            <wp:simplePos x="0" y="0"/>
            <wp:positionH relativeFrom="column">
              <wp:posOffset>47625</wp:posOffset>
            </wp:positionH>
            <wp:positionV relativeFrom="paragraph">
              <wp:posOffset>100965</wp:posOffset>
            </wp:positionV>
            <wp:extent cx="4143375" cy="2381250"/>
            <wp:effectExtent l="0" t="0" r="9525" b="0"/>
            <wp:wrapSquare wrapText="bothSides"/>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p>
    <w:p w:rsidR="00696C18" w:rsidRDefault="00696C18" w:rsidP="00A23892">
      <w:pPr>
        <w:pStyle w:val="NormalWeb"/>
        <w:shd w:val="clear" w:color="auto" w:fill="FFFFFF"/>
        <w:spacing w:after="0"/>
        <w:jc w:val="both"/>
        <w:rPr>
          <w:rFonts w:asciiTheme="majorHAnsi" w:hAnsiTheme="majorHAnsi" w:cs="Arial"/>
          <w:lang w:val="en-US"/>
        </w:rPr>
      </w:pPr>
    </w:p>
    <w:p w:rsidR="00DF16F1" w:rsidRDefault="00DF16F1" w:rsidP="00A23892">
      <w:pPr>
        <w:pStyle w:val="NormalWeb"/>
        <w:shd w:val="clear" w:color="auto" w:fill="FFFFFF"/>
        <w:spacing w:after="0"/>
        <w:jc w:val="both"/>
        <w:rPr>
          <w:rFonts w:asciiTheme="majorHAnsi" w:hAnsiTheme="majorHAnsi" w:cs="Arial"/>
          <w:lang w:val="en-US"/>
        </w:rPr>
      </w:pPr>
    </w:p>
    <w:p w:rsidR="00DF16F1" w:rsidRDefault="00DF16F1" w:rsidP="00A23892">
      <w:pPr>
        <w:pStyle w:val="NormalWeb"/>
        <w:shd w:val="clear" w:color="auto" w:fill="FFFFFF"/>
        <w:spacing w:after="0"/>
        <w:jc w:val="both"/>
        <w:rPr>
          <w:rFonts w:asciiTheme="majorHAnsi" w:hAnsiTheme="majorHAnsi" w:cs="Arial"/>
          <w:lang w:val="en-US"/>
        </w:rPr>
      </w:pPr>
    </w:p>
    <w:p w:rsidR="00DF16F1" w:rsidRDefault="00DF16F1" w:rsidP="00A23892">
      <w:pPr>
        <w:pStyle w:val="NormalWeb"/>
        <w:shd w:val="clear" w:color="auto" w:fill="FFFFFF"/>
        <w:spacing w:after="0"/>
        <w:jc w:val="both"/>
        <w:rPr>
          <w:rFonts w:asciiTheme="majorHAnsi" w:hAnsiTheme="majorHAnsi" w:cs="Arial"/>
          <w:lang w:val="en-US"/>
        </w:rPr>
      </w:pPr>
    </w:p>
    <w:p w:rsidR="00DF16F1" w:rsidRDefault="00DF16F1" w:rsidP="00A23892">
      <w:pPr>
        <w:pStyle w:val="NormalWeb"/>
        <w:shd w:val="clear" w:color="auto" w:fill="FFFFFF"/>
        <w:spacing w:after="0"/>
        <w:jc w:val="both"/>
        <w:rPr>
          <w:rFonts w:asciiTheme="majorHAnsi" w:hAnsiTheme="majorHAnsi" w:cs="Arial"/>
          <w:lang w:val="en-US"/>
        </w:rPr>
      </w:pPr>
    </w:p>
    <w:p w:rsidR="00DF16F1" w:rsidRDefault="00DF16F1" w:rsidP="00A23892">
      <w:pPr>
        <w:pStyle w:val="NormalWeb"/>
        <w:shd w:val="clear" w:color="auto" w:fill="FFFFFF"/>
        <w:spacing w:after="0"/>
        <w:jc w:val="both"/>
        <w:rPr>
          <w:rFonts w:asciiTheme="majorHAnsi" w:hAnsiTheme="majorHAnsi" w:cs="Arial"/>
          <w:lang w:val="en-US"/>
        </w:rPr>
      </w:pPr>
    </w:p>
    <w:p w:rsidR="00DF16F1" w:rsidRDefault="00DF16F1" w:rsidP="00A23892">
      <w:pPr>
        <w:pStyle w:val="NormalWeb"/>
        <w:shd w:val="clear" w:color="auto" w:fill="FFFFFF"/>
        <w:spacing w:after="0"/>
        <w:jc w:val="both"/>
        <w:rPr>
          <w:rFonts w:asciiTheme="majorHAnsi" w:hAnsiTheme="majorHAnsi" w:cs="Arial"/>
          <w:lang w:val="en-US"/>
        </w:rPr>
      </w:pPr>
    </w:p>
    <w:p w:rsidR="00DF16F1" w:rsidRDefault="00DF16F1" w:rsidP="00A23892">
      <w:pPr>
        <w:pStyle w:val="NormalWeb"/>
        <w:shd w:val="clear" w:color="auto" w:fill="FFFFFF"/>
        <w:spacing w:after="0"/>
        <w:jc w:val="both"/>
        <w:rPr>
          <w:rFonts w:asciiTheme="majorHAnsi" w:hAnsiTheme="majorHAnsi" w:cs="Arial"/>
          <w:lang w:val="en-US"/>
        </w:rPr>
      </w:pPr>
    </w:p>
    <w:p w:rsidR="00DF16F1" w:rsidRDefault="00DF16F1" w:rsidP="00A23892">
      <w:pPr>
        <w:pStyle w:val="NormalWeb"/>
        <w:shd w:val="clear" w:color="auto" w:fill="FFFFFF"/>
        <w:spacing w:after="0"/>
        <w:jc w:val="both"/>
        <w:rPr>
          <w:rFonts w:asciiTheme="majorHAnsi" w:hAnsiTheme="majorHAnsi" w:cs="Arial"/>
          <w:lang w:val="en-US"/>
        </w:rPr>
      </w:pPr>
    </w:p>
    <w:p w:rsidR="00DF16F1" w:rsidRDefault="00DF16F1" w:rsidP="00A23892">
      <w:pPr>
        <w:pStyle w:val="NormalWeb"/>
        <w:shd w:val="clear" w:color="auto" w:fill="FFFFFF"/>
        <w:spacing w:after="0"/>
        <w:jc w:val="both"/>
        <w:rPr>
          <w:rFonts w:asciiTheme="majorHAnsi" w:hAnsiTheme="majorHAnsi" w:cs="Arial"/>
          <w:lang w:val="en-US"/>
        </w:rPr>
      </w:pPr>
    </w:p>
    <w:p w:rsidR="00DF16F1" w:rsidRDefault="00DF16F1" w:rsidP="00A23892">
      <w:pPr>
        <w:pStyle w:val="NormalWeb"/>
        <w:shd w:val="clear" w:color="auto" w:fill="FFFFFF"/>
        <w:spacing w:after="0"/>
        <w:jc w:val="both"/>
        <w:rPr>
          <w:rFonts w:asciiTheme="majorHAnsi" w:hAnsiTheme="majorHAnsi" w:cs="Arial"/>
          <w:lang w:val="en-US"/>
        </w:rPr>
      </w:pPr>
    </w:p>
    <w:p w:rsidR="00DF16F1" w:rsidRDefault="00DF16F1" w:rsidP="00A23892">
      <w:pPr>
        <w:pStyle w:val="NormalWeb"/>
        <w:shd w:val="clear" w:color="auto" w:fill="FFFFFF"/>
        <w:spacing w:after="0"/>
        <w:jc w:val="both"/>
        <w:rPr>
          <w:rFonts w:asciiTheme="majorHAnsi" w:hAnsiTheme="majorHAnsi" w:cs="Arial"/>
          <w:lang w:val="en-US"/>
        </w:rPr>
      </w:pPr>
    </w:p>
    <w:p w:rsidR="00DF16F1" w:rsidRDefault="00DF16F1" w:rsidP="00A23892">
      <w:pPr>
        <w:pStyle w:val="NormalWeb"/>
        <w:shd w:val="clear" w:color="auto" w:fill="FFFFFF"/>
        <w:spacing w:after="0"/>
        <w:jc w:val="both"/>
        <w:rPr>
          <w:rFonts w:asciiTheme="majorHAnsi" w:hAnsiTheme="majorHAnsi" w:cs="Arial"/>
          <w:lang w:val="en-US"/>
        </w:rPr>
      </w:pPr>
    </w:p>
    <w:p w:rsidR="002B54B4" w:rsidRDefault="002B54B4" w:rsidP="00A23892">
      <w:pPr>
        <w:pStyle w:val="NormalWeb"/>
        <w:shd w:val="clear" w:color="auto" w:fill="FFFFFF"/>
        <w:spacing w:after="0"/>
        <w:jc w:val="both"/>
        <w:rPr>
          <w:rFonts w:asciiTheme="majorHAnsi" w:hAnsiTheme="majorHAnsi"/>
          <w:noProof/>
          <w:sz w:val="20"/>
          <w:szCs w:val="20"/>
        </w:rPr>
      </w:pPr>
      <w:r w:rsidRPr="00167882">
        <w:rPr>
          <w:rFonts w:asciiTheme="majorHAnsi" w:hAnsiTheme="majorHAnsi"/>
          <w:b/>
          <w:noProof/>
          <w:sz w:val="20"/>
          <w:szCs w:val="20"/>
        </w:rPr>
        <w:t>Figure 2</w:t>
      </w:r>
      <w:r>
        <w:rPr>
          <w:rFonts w:asciiTheme="majorHAnsi" w:hAnsiTheme="majorHAnsi"/>
          <w:b/>
          <w:noProof/>
          <w:sz w:val="20"/>
          <w:szCs w:val="20"/>
        </w:rPr>
        <w:t>3</w:t>
      </w:r>
      <w:r w:rsidRPr="00167882">
        <w:rPr>
          <w:rFonts w:asciiTheme="majorHAnsi" w:hAnsiTheme="majorHAnsi"/>
          <w:noProof/>
          <w:sz w:val="20"/>
          <w:szCs w:val="20"/>
        </w:rPr>
        <w:t xml:space="preserve"> Population </w:t>
      </w:r>
      <w:r>
        <w:rPr>
          <w:rFonts w:asciiTheme="majorHAnsi" w:hAnsiTheme="majorHAnsi"/>
          <w:noProof/>
          <w:sz w:val="20"/>
          <w:szCs w:val="20"/>
        </w:rPr>
        <w:t>Compositioon</w:t>
      </w:r>
    </w:p>
    <w:p w:rsidR="002B54B4" w:rsidRDefault="002B54B4" w:rsidP="00A23892">
      <w:pPr>
        <w:pStyle w:val="NormalWeb"/>
        <w:shd w:val="clear" w:color="auto" w:fill="FFFFFF"/>
        <w:spacing w:after="0"/>
        <w:jc w:val="both"/>
        <w:rPr>
          <w:rFonts w:asciiTheme="majorHAnsi" w:hAnsiTheme="majorHAnsi"/>
          <w:noProof/>
          <w:sz w:val="20"/>
          <w:szCs w:val="20"/>
        </w:rPr>
      </w:pPr>
    </w:p>
    <w:p w:rsidR="00753A15" w:rsidRPr="00167882" w:rsidRDefault="00696C18" w:rsidP="00A23892">
      <w:pPr>
        <w:pStyle w:val="NormalWeb"/>
        <w:shd w:val="clear" w:color="auto" w:fill="FFFFFF"/>
        <w:spacing w:after="0"/>
        <w:jc w:val="both"/>
        <w:rPr>
          <w:rFonts w:asciiTheme="majorHAnsi" w:hAnsiTheme="majorHAnsi" w:cs="Arial"/>
          <w:lang w:val="en-US"/>
        </w:rPr>
      </w:pPr>
      <w:r w:rsidRPr="00167882">
        <w:rPr>
          <w:noProof/>
        </w:rPr>
        <w:drawing>
          <wp:anchor distT="0" distB="0" distL="114300" distR="114300" simplePos="0" relativeHeight="251674624" behindDoc="0" locked="0" layoutInCell="1" allowOverlap="1" wp14:anchorId="0D1E302E" wp14:editId="5A2B18D2">
            <wp:simplePos x="0" y="0"/>
            <wp:positionH relativeFrom="column">
              <wp:posOffset>47625</wp:posOffset>
            </wp:positionH>
            <wp:positionV relativeFrom="paragraph">
              <wp:posOffset>1558925</wp:posOffset>
            </wp:positionV>
            <wp:extent cx="3919855" cy="2252980"/>
            <wp:effectExtent l="0" t="0" r="4445" b="13970"/>
            <wp:wrapSquare wrapText="bothSides"/>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margin">
              <wp14:pctWidth>0</wp14:pctWidth>
            </wp14:sizeRelH>
            <wp14:sizeRelV relativeFrom="margin">
              <wp14:pctHeight>0</wp14:pctHeight>
            </wp14:sizeRelV>
          </wp:anchor>
        </w:drawing>
      </w:r>
      <w:r w:rsidR="00753A15" w:rsidRPr="00167882">
        <w:rPr>
          <w:rFonts w:asciiTheme="majorHAnsi" w:hAnsiTheme="majorHAnsi" w:cs="Arial"/>
          <w:lang w:val="en-US"/>
        </w:rPr>
        <w:t xml:space="preserve">During the projection period the annual average growth </w:t>
      </w:r>
      <w:r w:rsidR="00C60948" w:rsidRPr="00167882">
        <w:rPr>
          <w:rFonts w:asciiTheme="majorHAnsi" w:hAnsiTheme="majorHAnsi" w:cs="Arial"/>
          <w:lang w:val="en-US"/>
        </w:rPr>
        <w:t xml:space="preserve">rate </w:t>
      </w:r>
      <w:r w:rsidR="00753A15" w:rsidRPr="00167882">
        <w:rPr>
          <w:rFonts w:asciiTheme="majorHAnsi" w:hAnsiTheme="majorHAnsi" w:cs="Arial"/>
          <w:lang w:val="en-US"/>
        </w:rPr>
        <w:t>of the population is expected to be 2.</w:t>
      </w:r>
      <w:r w:rsidR="00480F34" w:rsidRPr="00167882">
        <w:rPr>
          <w:rFonts w:asciiTheme="majorHAnsi" w:hAnsiTheme="majorHAnsi" w:cs="Arial"/>
          <w:lang w:val="en-US"/>
        </w:rPr>
        <w:t>0</w:t>
      </w:r>
      <w:r w:rsidR="00753A15" w:rsidRPr="00167882">
        <w:rPr>
          <w:rFonts w:asciiTheme="majorHAnsi" w:hAnsiTheme="majorHAnsi" w:cs="Arial"/>
          <w:lang w:val="en-US"/>
        </w:rPr>
        <w:t>%, which is higher than the 2002-2012 rate of 1.1%. The rural population is projected to grow at a faster</w:t>
      </w:r>
      <w:r w:rsidR="00DF16F1">
        <w:rPr>
          <w:rFonts w:asciiTheme="majorHAnsi" w:hAnsiTheme="majorHAnsi" w:cs="Arial"/>
          <w:lang w:val="en-US"/>
        </w:rPr>
        <w:t xml:space="preserve"> rate than the urban population, that is, </w:t>
      </w:r>
      <w:r w:rsidR="00753A15" w:rsidRPr="00167882">
        <w:rPr>
          <w:rFonts w:asciiTheme="majorHAnsi" w:hAnsiTheme="majorHAnsi" w:cs="Arial"/>
          <w:lang w:val="en-US"/>
        </w:rPr>
        <w:t xml:space="preserve">2.2% compared to 2.0%. </w:t>
      </w:r>
      <w:r w:rsidR="00C97112" w:rsidRPr="00167882">
        <w:rPr>
          <w:rFonts w:asciiTheme="majorHAnsi" w:hAnsiTheme="majorHAnsi" w:cs="Arial"/>
          <w:lang w:val="en-US"/>
        </w:rPr>
        <w:t xml:space="preserve">The age group </w:t>
      </w:r>
      <w:r w:rsidR="00610F55">
        <w:rPr>
          <w:rFonts w:asciiTheme="majorHAnsi" w:hAnsiTheme="majorHAnsi" w:cs="Arial"/>
          <w:lang w:val="en-US"/>
        </w:rPr>
        <w:t xml:space="preserve">0-4 </w:t>
      </w:r>
      <w:r w:rsidR="00C97112" w:rsidRPr="00167882">
        <w:rPr>
          <w:rFonts w:asciiTheme="majorHAnsi" w:hAnsiTheme="majorHAnsi" w:cs="Arial"/>
          <w:lang w:val="en-US"/>
        </w:rPr>
        <w:t>years is projected to grow by 0.3%</w:t>
      </w:r>
      <w:r w:rsidR="00DF16F1">
        <w:rPr>
          <w:rFonts w:asciiTheme="majorHAnsi" w:hAnsiTheme="majorHAnsi" w:cs="Arial"/>
          <w:lang w:val="en-US"/>
        </w:rPr>
        <w:t xml:space="preserve"> </w:t>
      </w:r>
      <w:r w:rsidR="00C97112" w:rsidRPr="00167882">
        <w:rPr>
          <w:rFonts w:asciiTheme="majorHAnsi" w:hAnsiTheme="majorHAnsi" w:cs="Arial"/>
          <w:lang w:val="en-US"/>
        </w:rPr>
        <w:t xml:space="preserve">- this is in line with the assumption of declining fertility. </w:t>
      </w:r>
      <w:r w:rsidR="00DF16F1">
        <w:rPr>
          <w:rFonts w:asciiTheme="majorHAnsi" w:hAnsiTheme="majorHAnsi" w:cs="Arial"/>
          <w:lang w:val="en-US"/>
        </w:rPr>
        <w:t xml:space="preserve">The population of reproductive age is projected to grow by 3.3 percent, from </w:t>
      </w:r>
      <w:r w:rsidR="00DF16F1" w:rsidRPr="00167882">
        <w:rPr>
          <w:rFonts w:asciiTheme="majorHAnsi" w:hAnsiTheme="majorHAnsi" w:cs="Arial"/>
          <w:lang w:val="en-US"/>
        </w:rPr>
        <w:t>6.3 million in 2012 to 10.4 million in 2032</w:t>
      </w:r>
      <w:r w:rsidR="00DF16F1">
        <w:rPr>
          <w:rFonts w:asciiTheme="majorHAnsi" w:hAnsiTheme="majorHAnsi" w:cs="Arial"/>
          <w:lang w:val="en-US"/>
        </w:rPr>
        <w:t>,</w:t>
      </w:r>
      <w:r w:rsidR="00DF16F1" w:rsidRPr="00167882">
        <w:rPr>
          <w:rFonts w:asciiTheme="majorHAnsi" w:hAnsiTheme="majorHAnsi" w:cs="Arial"/>
          <w:lang w:val="en-US"/>
        </w:rPr>
        <w:t xml:space="preserve"> impl</w:t>
      </w:r>
      <w:r w:rsidR="00DF16F1">
        <w:rPr>
          <w:rFonts w:asciiTheme="majorHAnsi" w:hAnsiTheme="majorHAnsi" w:cs="Arial"/>
          <w:lang w:val="en-US"/>
        </w:rPr>
        <w:t>ying</w:t>
      </w:r>
      <w:r w:rsidR="00DF16F1" w:rsidRPr="00167882">
        <w:rPr>
          <w:rFonts w:asciiTheme="majorHAnsi" w:hAnsiTheme="majorHAnsi" w:cs="Arial"/>
          <w:lang w:val="en-US"/>
        </w:rPr>
        <w:t xml:space="preserve"> that the population will continue to grow significantly in spite of declining fertility due to the phenomenon of population momentum. The projected growth of the working age population at 3.</w:t>
      </w:r>
      <w:r w:rsidR="00DF16F1">
        <w:rPr>
          <w:rFonts w:asciiTheme="majorHAnsi" w:hAnsiTheme="majorHAnsi" w:cs="Arial"/>
          <w:lang w:val="en-US"/>
        </w:rPr>
        <w:t>6</w:t>
      </w:r>
      <w:r w:rsidR="00DF16F1" w:rsidRPr="00167882">
        <w:rPr>
          <w:rFonts w:asciiTheme="majorHAnsi" w:hAnsiTheme="majorHAnsi" w:cs="Arial"/>
          <w:lang w:val="en-US"/>
        </w:rPr>
        <w:t xml:space="preserve"> percent, which is higher than the growth of the school going age-group, the youth and the elderly creates opportunity for economic growth and development. </w:t>
      </w:r>
      <w:r w:rsidR="00DF16F1">
        <w:rPr>
          <w:rFonts w:asciiTheme="majorHAnsi" w:hAnsiTheme="majorHAnsi" w:cs="Arial"/>
          <w:lang w:val="en-US"/>
        </w:rPr>
        <w:t xml:space="preserve">This opportunity is created because mortality and fertility are declining and the proportion of the working age population to the total has grown.  </w:t>
      </w:r>
    </w:p>
    <w:p w:rsidR="00C97112" w:rsidRDefault="00C97112" w:rsidP="00DF16F1">
      <w:pPr>
        <w:pStyle w:val="NormalWeb"/>
        <w:shd w:val="clear" w:color="auto" w:fill="FFFFFF"/>
        <w:spacing w:after="0"/>
        <w:rPr>
          <w:rFonts w:asciiTheme="majorHAnsi" w:hAnsiTheme="majorHAnsi" w:cs="Arial"/>
          <w:lang w:val="en-US"/>
        </w:rPr>
      </w:pPr>
    </w:p>
    <w:p w:rsidR="00DF16F1" w:rsidRDefault="00DF16F1" w:rsidP="00DF16F1">
      <w:pPr>
        <w:pStyle w:val="NormalWeb"/>
        <w:shd w:val="clear" w:color="auto" w:fill="FFFFFF"/>
        <w:spacing w:after="0"/>
        <w:rPr>
          <w:rFonts w:asciiTheme="majorHAnsi" w:hAnsiTheme="majorHAnsi" w:cs="Arial"/>
          <w:lang w:val="en-US"/>
        </w:rPr>
      </w:pPr>
    </w:p>
    <w:p w:rsidR="00696C18" w:rsidRDefault="00696C18" w:rsidP="00696C18">
      <w:pPr>
        <w:pStyle w:val="NormalWeb"/>
        <w:shd w:val="clear" w:color="auto" w:fill="FFFFFF"/>
        <w:spacing w:after="0"/>
        <w:jc w:val="both"/>
        <w:rPr>
          <w:rFonts w:asciiTheme="majorHAnsi" w:hAnsiTheme="majorHAnsi" w:cs="Arial"/>
          <w:sz w:val="20"/>
          <w:szCs w:val="20"/>
          <w:lang w:val="en-US"/>
        </w:rPr>
      </w:pPr>
      <w:r w:rsidRPr="00167882">
        <w:rPr>
          <w:rFonts w:asciiTheme="majorHAnsi" w:hAnsiTheme="majorHAnsi" w:cs="Arial"/>
          <w:b/>
          <w:sz w:val="20"/>
          <w:szCs w:val="20"/>
          <w:lang w:val="en-US"/>
        </w:rPr>
        <w:t>Figure 2</w:t>
      </w:r>
      <w:r w:rsidR="002B54B4">
        <w:rPr>
          <w:rFonts w:asciiTheme="majorHAnsi" w:hAnsiTheme="majorHAnsi" w:cs="Arial"/>
          <w:b/>
          <w:sz w:val="20"/>
          <w:szCs w:val="20"/>
          <w:lang w:val="en-US"/>
        </w:rPr>
        <w:t>4</w:t>
      </w:r>
      <w:r w:rsidRPr="00167882">
        <w:rPr>
          <w:rFonts w:asciiTheme="majorHAnsi" w:hAnsiTheme="majorHAnsi" w:cs="Arial"/>
          <w:sz w:val="20"/>
          <w:szCs w:val="20"/>
          <w:lang w:val="en-US"/>
        </w:rPr>
        <w:t xml:space="preserve"> Projected annual average population growth rates by ag</w:t>
      </w:r>
      <w:r>
        <w:rPr>
          <w:rFonts w:asciiTheme="majorHAnsi" w:hAnsiTheme="majorHAnsi" w:cs="Arial"/>
          <w:sz w:val="20"/>
          <w:szCs w:val="20"/>
          <w:lang w:val="en-US"/>
        </w:rPr>
        <w:t>e</w:t>
      </w:r>
    </w:p>
    <w:p w:rsidR="002B54B4" w:rsidRDefault="002B54B4" w:rsidP="00696C18">
      <w:pPr>
        <w:pStyle w:val="NormalWeb"/>
        <w:shd w:val="clear" w:color="auto" w:fill="FFFFFF"/>
        <w:spacing w:after="0"/>
        <w:jc w:val="both"/>
        <w:rPr>
          <w:rFonts w:asciiTheme="majorHAnsi" w:hAnsiTheme="majorHAnsi" w:cs="Arial"/>
          <w:sz w:val="20"/>
          <w:szCs w:val="20"/>
          <w:lang w:val="en-US"/>
        </w:rPr>
      </w:pPr>
    </w:p>
    <w:p w:rsidR="00A67D50" w:rsidRPr="00B45E13" w:rsidRDefault="00284235" w:rsidP="00655150">
      <w:pPr>
        <w:pStyle w:val="Heading1"/>
        <w:spacing w:before="0" w:line="240" w:lineRule="auto"/>
        <w:rPr>
          <w:b/>
          <w:color w:val="auto"/>
          <w:sz w:val="24"/>
          <w:szCs w:val="24"/>
        </w:rPr>
      </w:pPr>
      <w:bookmarkStart w:id="19" w:name="_Toc432886499"/>
      <w:r w:rsidRPr="00B45E13">
        <w:rPr>
          <w:b/>
          <w:color w:val="auto"/>
          <w:sz w:val="24"/>
          <w:szCs w:val="24"/>
        </w:rPr>
        <w:t xml:space="preserve">5. </w:t>
      </w:r>
      <w:r w:rsidR="00DF16F1">
        <w:rPr>
          <w:b/>
          <w:color w:val="auto"/>
          <w:sz w:val="24"/>
          <w:szCs w:val="24"/>
        </w:rPr>
        <w:t xml:space="preserve">ZIMBABWE’S DEMOGRAPHIC STRUCTURE AND THE SCOPE FOR A </w:t>
      </w:r>
      <w:r w:rsidRPr="00B45E13">
        <w:rPr>
          <w:b/>
          <w:color w:val="auto"/>
          <w:sz w:val="24"/>
          <w:szCs w:val="24"/>
        </w:rPr>
        <w:t>DEMOGRAPHIC DIVIDEND</w:t>
      </w:r>
      <w:bookmarkEnd w:id="19"/>
    </w:p>
    <w:p w:rsidR="005A1382" w:rsidRDefault="00A67D50" w:rsidP="00655150">
      <w:pPr>
        <w:autoSpaceDE w:val="0"/>
        <w:autoSpaceDN w:val="0"/>
        <w:adjustRightInd w:val="0"/>
        <w:spacing w:after="0" w:line="240" w:lineRule="auto"/>
        <w:jc w:val="both"/>
        <w:rPr>
          <w:rFonts w:asciiTheme="majorHAnsi" w:hAnsiTheme="majorHAnsi" w:cs="Unit-Light"/>
          <w:sz w:val="24"/>
          <w:szCs w:val="24"/>
        </w:rPr>
      </w:pPr>
      <w:r w:rsidRPr="00906879">
        <w:rPr>
          <w:rFonts w:asciiTheme="majorHAnsi" w:hAnsiTheme="majorHAnsi" w:cs="Unit-Light"/>
          <w:sz w:val="24"/>
          <w:szCs w:val="24"/>
        </w:rPr>
        <w:t>During a demographic transition, when both mortality and fertility are declining</w:t>
      </w:r>
      <w:r w:rsidR="00B0457A">
        <w:rPr>
          <w:rFonts w:asciiTheme="majorHAnsi" w:hAnsiTheme="majorHAnsi" w:cs="Unit-Light"/>
          <w:sz w:val="24"/>
          <w:szCs w:val="24"/>
        </w:rPr>
        <w:t>,</w:t>
      </w:r>
      <w:r w:rsidRPr="00906879">
        <w:rPr>
          <w:rFonts w:asciiTheme="majorHAnsi" w:hAnsiTheme="majorHAnsi" w:cs="Unit-Light"/>
          <w:sz w:val="24"/>
          <w:szCs w:val="24"/>
        </w:rPr>
        <w:t xml:space="preserve"> the population’s age structure also changes. </w:t>
      </w:r>
      <w:r w:rsidR="00E71DFF">
        <w:rPr>
          <w:rFonts w:asciiTheme="majorHAnsi" w:hAnsiTheme="majorHAnsi" w:cs="Unit-Light"/>
          <w:sz w:val="24"/>
          <w:szCs w:val="24"/>
        </w:rPr>
        <w:t>T</w:t>
      </w:r>
      <w:r w:rsidRPr="00906879">
        <w:rPr>
          <w:rFonts w:asciiTheme="majorHAnsi" w:hAnsiTheme="majorHAnsi" w:cs="Unit-Light"/>
          <w:sz w:val="24"/>
          <w:szCs w:val="24"/>
        </w:rPr>
        <w:t xml:space="preserve">he proportion of children falls </w:t>
      </w:r>
      <w:r w:rsidR="00E71DFF">
        <w:rPr>
          <w:rFonts w:asciiTheme="majorHAnsi" w:hAnsiTheme="majorHAnsi" w:cs="Unit-Light"/>
          <w:sz w:val="24"/>
          <w:szCs w:val="24"/>
        </w:rPr>
        <w:t xml:space="preserve">while that of </w:t>
      </w:r>
      <w:r w:rsidR="00E71DFF" w:rsidRPr="00906879">
        <w:rPr>
          <w:rFonts w:asciiTheme="majorHAnsi" w:hAnsiTheme="majorHAnsi" w:cs="Unit-Light"/>
          <w:sz w:val="24"/>
          <w:szCs w:val="24"/>
        </w:rPr>
        <w:t>older people remains low until the large group of working age people gradually grows older.</w:t>
      </w:r>
      <w:r w:rsidR="00E71DFF">
        <w:rPr>
          <w:rFonts w:asciiTheme="majorHAnsi" w:hAnsiTheme="majorHAnsi" w:cs="Unit-Light"/>
          <w:sz w:val="24"/>
          <w:szCs w:val="24"/>
        </w:rPr>
        <w:t xml:space="preserve"> During this period, </w:t>
      </w:r>
      <w:r w:rsidRPr="00906879">
        <w:rPr>
          <w:rFonts w:asciiTheme="majorHAnsi" w:hAnsiTheme="majorHAnsi" w:cs="Unit-Light"/>
          <w:sz w:val="24"/>
          <w:szCs w:val="24"/>
        </w:rPr>
        <w:t xml:space="preserve">there </w:t>
      </w:r>
      <w:r w:rsidR="00E71DFF">
        <w:rPr>
          <w:rFonts w:asciiTheme="majorHAnsi" w:hAnsiTheme="majorHAnsi" w:cs="Unit-Light"/>
          <w:sz w:val="24"/>
          <w:szCs w:val="24"/>
        </w:rPr>
        <w:t>the proportion of</w:t>
      </w:r>
      <w:r w:rsidRPr="00906879">
        <w:rPr>
          <w:rFonts w:asciiTheme="majorHAnsi" w:hAnsiTheme="majorHAnsi" w:cs="Unit-Light"/>
          <w:sz w:val="24"/>
          <w:szCs w:val="24"/>
        </w:rPr>
        <w:t xml:space="preserve"> people of working age</w:t>
      </w:r>
      <w:r w:rsidR="00E71DFF">
        <w:rPr>
          <w:rFonts w:asciiTheme="majorHAnsi" w:hAnsiTheme="majorHAnsi" w:cs="Unit-Light"/>
          <w:sz w:val="24"/>
          <w:szCs w:val="24"/>
        </w:rPr>
        <w:t xml:space="preserve"> will be increasing while t</w:t>
      </w:r>
      <w:r w:rsidRPr="00906879">
        <w:rPr>
          <w:rFonts w:asciiTheme="majorHAnsi" w:hAnsiTheme="majorHAnsi" w:cs="Unit-Light"/>
          <w:sz w:val="24"/>
          <w:szCs w:val="24"/>
        </w:rPr>
        <w:t xml:space="preserve">he </w:t>
      </w:r>
      <w:r w:rsidRPr="00906879">
        <w:rPr>
          <w:rFonts w:asciiTheme="majorHAnsi" w:hAnsiTheme="majorHAnsi" w:cs="Unit-Light"/>
          <w:sz w:val="24"/>
          <w:szCs w:val="24"/>
        </w:rPr>
        <w:lastRenderedPageBreak/>
        <w:t xml:space="preserve">dependency ratio </w:t>
      </w:r>
      <w:r w:rsidR="00E71DFF">
        <w:rPr>
          <w:rFonts w:asciiTheme="majorHAnsi" w:hAnsiTheme="majorHAnsi" w:cs="Unit-Light"/>
          <w:sz w:val="24"/>
          <w:szCs w:val="24"/>
        </w:rPr>
        <w:t>will be falling, which</w:t>
      </w:r>
      <w:r w:rsidRPr="00906879">
        <w:rPr>
          <w:rFonts w:asciiTheme="majorHAnsi" w:hAnsiTheme="majorHAnsi" w:cs="Unit-Light"/>
          <w:sz w:val="24"/>
          <w:szCs w:val="24"/>
        </w:rPr>
        <w:t xml:space="preserve"> makes the society more productive because </w:t>
      </w:r>
      <w:r w:rsidRPr="00906879">
        <w:rPr>
          <w:rFonts w:asciiTheme="majorHAnsi" w:hAnsiTheme="majorHAnsi"/>
          <w:sz w:val="24"/>
          <w:szCs w:val="24"/>
        </w:rPr>
        <w:t xml:space="preserve">fewer investments are needed to meet the needs of the youngest and oldest age groups, which are largely consumptive. </w:t>
      </w:r>
      <w:r w:rsidRPr="00906879">
        <w:rPr>
          <w:rFonts w:asciiTheme="majorHAnsi" w:hAnsiTheme="majorHAnsi" w:cs="Unit-Light"/>
          <w:sz w:val="24"/>
          <w:szCs w:val="24"/>
        </w:rPr>
        <w:t xml:space="preserve">In a country’s demographic development, this window of time between falling birth rates and ageing is referred to as a </w:t>
      </w:r>
      <w:r w:rsidRPr="00906879">
        <w:rPr>
          <w:rFonts w:asciiTheme="majorHAnsi" w:hAnsiTheme="majorHAnsi" w:cs="Unit-Medium"/>
          <w:i/>
          <w:sz w:val="24"/>
          <w:szCs w:val="24"/>
        </w:rPr>
        <w:t>demographic bonus</w:t>
      </w:r>
      <w:r w:rsidRPr="00906879">
        <w:rPr>
          <w:rFonts w:asciiTheme="majorHAnsi" w:hAnsiTheme="majorHAnsi" w:cs="Unit-Light"/>
          <w:sz w:val="24"/>
          <w:szCs w:val="24"/>
        </w:rPr>
        <w:t xml:space="preserve">. If people in the working age group are trained, find employment and have long productive careers before they are dependent themselves, the demographic bonus becomes a </w:t>
      </w:r>
      <w:r w:rsidRPr="00906879">
        <w:rPr>
          <w:rFonts w:asciiTheme="majorHAnsi" w:hAnsiTheme="majorHAnsi" w:cs="Unit-Light"/>
          <w:i/>
          <w:sz w:val="24"/>
          <w:szCs w:val="24"/>
        </w:rPr>
        <w:t>demographic dividend</w:t>
      </w:r>
      <w:r w:rsidRPr="00906879">
        <w:rPr>
          <w:rFonts w:asciiTheme="majorHAnsi" w:hAnsiTheme="majorHAnsi" w:cs="Unit-Light"/>
          <w:sz w:val="24"/>
          <w:szCs w:val="24"/>
        </w:rPr>
        <w:t xml:space="preserve">. To achieve this there must be deliberate investment in education and the labour market. </w:t>
      </w:r>
    </w:p>
    <w:p w:rsidR="00D60EB9" w:rsidRPr="00906879" w:rsidRDefault="00D60EB9" w:rsidP="00655150">
      <w:pPr>
        <w:autoSpaceDE w:val="0"/>
        <w:autoSpaceDN w:val="0"/>
        <w:adjustRightInd w:val="0"/>
        <w:spacing w:after="0" w:line="240" w:lineRule="auto"/>
        <w:jc w:val="both"/>
        <w:rPr>
          <w:rFonts w:asciiTheme="majorHAnsi" w:eastAsiaTheme="minorEastAsia" w:hAnsiTheme="majorHAnsi"/>
          <w:sz w:val="24"/>
          <w:szCs w:val="24"/>
        </w:rPr>
      </w:pPr>
    </w:p>
    <w:p w:rsidR="00A67D50" w:rsidRPr="00906879" w:rsidRDefault="00696C18" w:rsidP="00AF1518">
      <w:pPr>
        <w:autoSpaceDE w:val="0"/>
        <w:autoSpaceDN w:val="0"/>
        <w:adjustRightInd w:val="0"/>
        <w:spacing w:after="0" w:line="240" w:lineRule="auto"/>
        <w:jc w:val="both"/>
        <w:rPr>
          <w:rFonts w:asciiTheme="majorHAnsi" w:hAnsiTheme="majorHAnsi" w:cs="Unit-Light"/>
          <w:sz w:val="24"/>
          <w:szCs w:val="24"/>
        </w:rPr>
      </w:pPr>
      <w:r w:rsidRPr="00906879">
        <w:rPr>
          <w:rFonts w:asciiTheme="majorHAnsi" w:hAnsiTheme="majorHAnsi"/>
          <w:noProof/>
          <w:sz w:val="24"/>
          <w:szCs w:val="24"/>
          <w:lang w:eastAsia="en-ZW"/>
        </w:rPr>
        <w:drawing>
          <wp:anchor distT="0" distB="0" distL="114300" distR="114300" simplePos="0" relativeHeight="251675648" behindDoc="0" locked="0" layoutInCell="1" allowOverlap="1" wp14:anchorId="7CCD33C3" wp14:editId="6747B912">
            <wp:simplePos x="0" y="0"/>
            <wp:positionH relativeFrom="column">
              <wp:posOffset>-8255</wp:posOffset>
            </wp:positionH>
            <wp:positionV relativeFrom="paragraph">
              <wp:posOffset>756726</wp:posOffset>
            </wp:positionV>
            <wp:extent cx="2981325" cy="2386965"/>
            <wp:effectExtent l="0" t="0" r="9525" b="13335"/>
            <wp:wrapSquare wrapText="bothSides"/>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margin">
              <wp14:pctWidth>0</wp14:pctWidth>
            </wp14:sizeRelH>
            <wp14:sizeRelV relativeFrom="margin">
              <wp14:pctHeight>0</wp14:pctHeight>
            </wp14:sizeRelV>
          </wp:anchor>
        </w:drawing>
      </w:r>
      <w:r w:rsidR="006B2DC3">
        <w:rPr>
          <w:rFonts w:asciiTheme="majorHAnsi" w:hAnsiTheme="majorHAnsi" w:cs="Unit-Light"/>
          <w:sz w:val="24"/>
          <w:szCs w:val="24"/>
        </w:rPr>
        <w:t>T</w:t>
      </w:r>
      <w:r w:rsidR="00A67D50" w:rsidRPr="00906879">
        <w:rPr>
          <w:rFonts w:asciiTheme="majorHAnsi" w:hAnsiTheme="majorHAnsi" w:cs="Unit-Light"/>
          <w:sz w:val="24"/>
          <w:szCs w:val="24"/>
        </w:rPr>
        <w:t xml:space="preserve">he proportion of the population aged 15-64 years to total population </w:t>
      </w:r>
      <w:r w:rsidR="006B2DC3">
        <w:rPr>
          <w:rFonts w:asciiTheme="majorHAnsi" w:hAnsiTheme="majorHAnsi" w:cs="Unit-Light"/>
          <w:sz w:val="24"/>
          <w:szCs w:val="24"/>
        </w:rPr>
        <w:t>h</w:t>
      </w:r>
      <w:r w:rsidR="00A67D50" w:rsidRPr="00906879">
        <w:rPr>
          <w:rFonts w:asciiTheme="majorHAnsi" w:hAnsiTheme="majorHAnsi" w:cs="Unit-Light"/>
          <w:sz w:val="24"/>
          <w:szCs w:val="24"/>
        </w:rPr>
        <w:t xml:space="preserve">as </w:t>
      </w:r>
      <w:r w:rsidR="006B2DC3">
        <w:rPr>
          <w:rFonts w:asciiTheme="majorHAnsi" w:hAnsiTheme="majorHAnsi" w:cs="Unit-Light"/>
          <w:sz w:val="24"/>
          <w:szCs w:val="24"/>
        </w:rPr>
        <w:t xml:space="preserve">been </w:t>
      </w:r>
      <w:r w:rsidR="00A67D50" w:rsidRPr="00906879">
        <w:rPr>
          <w:rFonts w:asciiTheme="majorHAnsi" w:hAnsiTheme="majorHAnsi" w:cs="Unit-Light"/>
          <w:sz w:val="24"/>
          <w:szCs w:val="24"/>
        </w:rPr>
        <w:t>increasing since 1982. The increasing trend was halted between 2002 and 2012 due to the attrition of the working age population by AIDS deaths. Correspondingly</w:t>
      </w:r>
      <w:r w:rsidR="006B2DC3">
        <w:rPr>
          <w:rFonts w:asciiTheme="majorHAnsi" w:hAnsiTheme="majorHAnsi" w:cs="Unit-Light"/>
          <w:sz w:val="24"/>
          <w:szCs w:val="24"/>
        </w:rPr>
        <w:t>,</w:t>
      </w:r>
      <w:r w:rsidR="00A67D50" w:rsidRPr="00906879">
        <w:rPr>
          <w:rFonts w:asciiTheme="majorHAnsi" w:hAnsiTheme="majorHAnsi" w:cs="Unit-Light"/>
          <w:sz w:val="24"/>
          <w:szCs w:val="24"/>
        </w:rPr>
        <w:t xml:space="preserve"> dependency ratios that had been declining rose between 2002 and 2012. In comparative terms</w:t>
      </w:r>
      <w:r w:rsidR="007F2041">
        <w:rPr>
          <w:rFonts w:asciiTheme="majorHAnsi" w:hAnsiTheme="majorHAnsi" w:cs="Unit-Light"/>
          <w:sz w:val="24"/>
          <w:szCs w:val="24"/>
        </w:rPr>
        <w:t>,</w:t>
      </w:r>
      <w:r w:rsidR="00A67D50" w:rsidRPr="00906879">
        <w:rPr>
          <w:rFonts w:asciiTheme="majorHAnsi" w:hAnsiTheme="majorHAnsi" w:cs="Unit-Light"/>
          <w:sz w:val="24"/>
          <w:szCs w:val="24"/>
        </w:rPr>
        <w:t xml:space="preserve"> it can be said that Zimbabwe has fallen behind in its demographic transition by half a century compared to Eastern Asian countries since the latter had an age structure similar to present day Zimbabwe in 1965. For the three consecutive censuses of 1992, 2002 and 2012 the age pyramid of the population remains bloated in younger ages, showing that the population has remained young with half of it aged below 20 years. This age structure is not synonymous with a structure conducive for a demographic bonus. </w:t>
      </w:r>
    </w:p>
    <w:p w:rsidR="00A67D50" w:rsidRPr="00596815" w:rsidRDefault="00A67D50" w:rsidP="00655150">
      <w:pPr>
        <w:autoSpaceDE w:val="0"/>
        <w:autoSpaceDN w:val="0"/>
        <w:adjustRightInd w:val="0"/>
        <w:spacing w:after="0" w:line="240" w:lineRule="auto"/>
        <w:rPr>
          <w:rFonts w:asciiTheme="majorHAnsi" w:hAnsiTheme="majorHAnsi" w:cs="Unit-Light"/>
          <w:sz w:val="20"/>
          <w:szCs w:val="20"/>
        </w:rPr>
      </w:pPr>
      <w:r w:rsidRPr="00596815">
        <w:rPr>
          <w:rFonts w:asciiTheme="majorHAnsi" w:hAnsiTheme="majorHAnsi" w:cs="Unit-Light"/>
          <w:b/>
          <w:sz w:val="20"/>
          <w:szCs w:val="20"/>
        </w:rPr>
        <w:t xml:space="preserve">Figure </w:t>
      </w:r>
      <w:r w:rsidR="002B54B4">
        <w:rPr>
          <w:rFonts w:asciiTheme="majorHAnsi" w:hAnsiTheme="majorHAnsi" w:cs="Unit-Light"/>
          <w:b/>
          <w:sz w:val="20"/>
          <w:szCs w:val="20"/>
        </w:rPr>
        <w:t>25</w:t>
      </w:r>
      <w:r w:rsidRPr="00596815">
        <w:rPr>
          <w:rFonts w:asciiTheme="majorHAnsi" w:hAnsiTheme="majorHAnsi" w:cs="Unit-Light"/>
          <w:sz w:val="20"/>
          <w:szCs w:val="20"/>
        </w:rPr>
        <w:t xml:space="preserve"> Dependency ratios and proportion of population aged 15-64 years</w:t>
      </w:r>
    </w:p>
    <w:p w:rsidR="005A1382" w:rsidRDefault="005A1382" w:rsidP="00412C4E">
      <w:pPr>
        <w:autoSpaceDE w:val="0"/>
        <w:autoSpaceDN w:val="0"/>
        <w:adjustRightInd w:val="0"/>
        <w:spacing w:after="0" w:line="240" w:lineRule="auto"/>
        <w:jc w:val="both"/>
        <w:rPr>
          <w:rFonts w:asciiTheme="majorHAnsi" w:hAnsiTheme="majorHAnsi" w:cs="Unit-Light"/>
          <w:sz w:val="24"/>
          <w:szCs w:val="24"/>
        </w:rPr>
      </w:pPr>
    </w:p>
    <w:p w:rsidR="00A67D50" w:rsidRPr="00906879" w:rsidRDefault="00A67D50" w:rsidP="00412C4E">
      <w:pPr>
        <w:autoSpaceDE w:val="0"/>
        <w:autoSpaceDN w:val="0"/>
        <w:adjustRightInd w:val="0"/>
        <w:spacing w:after="0" w:line="240" w:lineRule="auto"/>
        <w:jc w:val="both"/>
        <w:rPr>
          <w:rFonts w:asciiTheme="majorHAnsi" w:hAnsiTheme="majorHAnsi" w:cs="Unit-Light"/>
          <w:sz w:val="24"/>
          <w:szCs w:val="24"/>
        </w:rPr>
      </w:pPr>
      <w:r w:rsidRPr="00906879">
        <w:rPr>
          <w:rFonts w:asciiTheme="majorHAnsi" w:hAnsiTheme="majorHAnsi" w:cs="Unit-Light"/>
          <w:sz w:val="24"/>
          <w:szCs w:val="24"/>
        </w:rPr>
        <w:t xml:space="preserve">Although Zimbabwe was moving towards a demographic bonus, </w:t>
      </w:r>
      <w:r>
        <w:rPr>
          <w:rFonts w:asciiTheme="majorHAnsi" w:hAnsiTheme="majorHAnsi" w:cs="Unit-Light"/>
          <w:sz w:val="24"/>
          <w:szCs w:val="24"/>
        </w:rPr>
        <w:t>a</w:t>
      </w:r>
      <w:r w:rsidRPr="00906879">
        <w:rPr>
          <w:rFonts w:asciiTheme="majorHAnsi" w:hAnsiTheme="majorHAnsi" w:cs="Unit-Light"/>
          <w:sz w:val="24"/>
          <w:szCs w:val="24"/>
        </w:rPr>
        <w:t xml:space="preserve"> prerequisite for a demographic dividend, that trend has been reversed. The situation is exacerbated by the relatively slower growth of the population aged 15-64 years compared to the age group 0-14 years between 2002 and 2012. The age group 15-64 years had grown faster than the 0-14 years between periods 1982-1992 and 1992-2002. </w:t>
      </w:r>
    </w:p>
    <w:p w:rsidR="00A67D50" w:rsidRPr="00906879" w:rsidRDefault="00A67D50" w:rsidP="00412C4E">
      <w:pPr>
        <w:autoSpaceDE w:val="0"/>
        <w:autoSpaceDN w:val="0"/>
        <w:adjustRightInd w:val="0"/>
        <w:spacing w:after="0" w:line="240" w:lineRule="auto"/>
        <w:jc w:val="both"/>
        <w:rPr>
          <w:rFonts w:asciiTheme="majorHAnsi" w:hAnsiTheme="majorHAnsi" w:cs="Unit-Light"/>
          <w:sz w:val="24"/>
          <w:szCs w:val="24"/>
        </w:rPr>
      </w:pPr>
    </w:p>
    <w:p w:rsidR="00A67D50" w:rsidRPr="00906879" w:rsidRDefault="00A67D50" w:rsidP="00412C4E">
      <w:pPr>
        <w:autoSpaceDE w:val="0"/>
        <w:autoSpaceDN w:val="0"/>
        <w:adjustRightInd w:val="0"/>
        <w:spacing w:after="0" w:line="240" w:lineRule="auto"/>
        <w:jc w:val="both"/>
        <w:rPr>
          <w:rFonts w:asciiTheme="majorHAnsi" w:hAnsiTheme="majorHAnsi" w:cs="Unit-Light"/>
          <w:sz w:val="24"/>
          <w:szCs w:val="24"/>
        </w:rPr>
      </w:pPr>
      <w:r w:rsidRPr="00906879">
        <w:rPr>
          <w:rFonts w:asciiTheme="majorHAnsi" w:hAnsiTheme="majorHAnsi" w:cs="Unit-Light"/>
          <w:sz w:val="24"/>
          <w:szCs w:val="24"/>
        </w:rPr>
        <w:t>According to the demographic transition theory</w:t>
      </w:r>
      <w:r w:rsidR="00DF16F1">
        <w:rPr>
          <w:rFonts w:asciiTheme="majorHAnsi" w:hAnsiTheme="majorHAnsi" w:cs="Unit-Light"/>
          <w:sz w:val="24"/>
          <w:szCs w:val="24"/>
        </w:rPr>
        <w:t>,</w:t>
      </w:r>
      <w:r w:rsidRPr="00906879">
        <w:rPr>
          <w:rFonts w:asciiTheme="majorHAnsi" w:hAnsiTheme="majorHAnsi" w:cs="Unit-Light"/>
          <w:sz w:val="24"/>
          <w:szCs w:val="24"/>
        </w:rPr>
        <w:t xml:space="preserve"> mortality decline is antecedent to fertility decline. Fertility still remains high in Zimbabwe, sadly showing signs of an increasing trend between 2002 and 2012, and far much higher than the levels that created a demographic structure amenable to the demographic dividend in Eastern Asia. Unless fertility levels fall</w:t>
      </w:r>
      <w:r w:rsidR="00DF16F1">
        <w:rPr>
          <w:rFonts w:asciiTheme="majorHAnsi" w:hAnsiTheme="majorHAnsi" w:cs="Unit-Light"/>
          <w:sz w:val="24"/>
          <w:szCs w:val="24"/>
        </w:rPr>
        <w:t>,</w:t>
      </w:r>
      <w:r w:rsidRPr="00906879">
        <w:rPr>
          <w:rFonts w:asciiTheme="majorHAnsi" w:hAnsiTheme="majorHAnsi" w:cs="Unit-Light"/>
          <w:sz w:val="24"/>
          <w:szCs w:val="24"/>
        </w:rPr>
        <w:t xml:space="preserve"> Zimbabwe’s population will remain young, making it difficult to reach for the demographic dividend. </w:t>
      </w:r>
    </w:p>
    <w:p w:rsidR="00A67D50" w:rsidRPr="00906879" w:rsidRDefault="00A67D50" w:rsidP="00412C4E">
      <w:pPr>
        <w:autoSpaceDE w:val="0"/>
        <w:autoSpaceDN w:val="0"/>
        <w:adjustRightInd w:val="0"/>
        <w:spacing w:after="0" w:line="240" w:lineRule="auto"/>
        <w:jc w:val="both"/>
        <w:rPr>
          <w:rFonts w:asciiTheme="majorHAnsi" w:hAnsiTheme="majorHAnsi" w:cs="Unit-Light"/>
          <w:sz w:val="24"/>
          <w:szCs w:val="24"/>
        </w:rPr>
      </w:pPr>
    </w:p>
    <w:p w:rsidR="00A67D50" w:rsidRPr="00906879" w:rsidRDefault="00A67D50" w:rsidP="00412C4E">
      <w:pPr>
        <w:autoSpaceDE w:val="0"/>
        <w:autoSpaceDN w:val="0"/>
        <w:adjustRightInd w:val="0"/>
        <w:spacing w:after="0" w:line="240" w:lineRule="auto"/>
        <w:jc w:val="both"/>
        <w:rPr>
          <w:rFonts w:asciiTheme="majorHAnsi" w:hAnsiTheme="majorHAnsi" w:cs="Unit-Light"/>
          <w:sz w:val="24"/>
          <w:szCs w:val="24"/>
        </w:rPr>
      </w:pPr>
      <w:r w:rsidRPr="00906879">
        <w:rPr>
          <w:rFonts w:asciiTheme="majorHAnsi" w:hAnsiTheme="majorHAnsi" w:cs="Unit-Light"/>
          <w:sz w:val="24"/>
          <w:szCs w:val="24"/>
        </w:rPr>
        <w:t xml:space="preserve">Population projections based on the 2012 Population Census show that 64 percent of the population of Zimbabwe will be aged 15-64 years in 2032 compared to 55 percent in 2012. The population aged 0-14 years is projected to decline to about 32 percent from the current 41 percent and the population 65 years and above is not expected to change. This is </w:t>
      </w:r>
      <w:r>
        <w:rPr>
          <w:rFonts w:asciiTheme="majorHAnsi" w:hAnsiTheme="majorHAnsi" w:cs="Unit-Light"/>
          <w:sz w:val="24"/>
          <w:szCs w:val="24"/>
        </w:rPr>
        <w:t>p</w:t>
      </w:r>
      <w:r w:rsidRPr="00906879">
        <w:rPr>
          <w:rFonts w:asciiTheme="majorHAnsi" w:hAnsiTheme="majorHAnsi" w:cs="Unit-Light"/>
          <w:sz w:val="24"/>
          <w:szCs w:val="24"/>
        </w:rPr>
        <w:t>remised on the assumption of a decline in fertility and improved longevity. If this transition takes</w:t>
      </w:r>
      <w:r>
        <w:rPr>
          <w:rFonts w:asciiTheme="majorHAnsi" w:hAnsiTheme="majorHAnsi" w:cs="Unit-Light"/>
          <w:sz w:val="24"/>
          <w:szCs w:val="24"/>
        </w:rPr>
        <w:t xml:space="preserve"> </w:t>
      </w:r>
      <w:r w:rsidRPr="00906879">
        <w:rPr>
          <w:rFonts w:asciiTheme="majorHAnsi" w:hAnsiTheme="majorHAnsi" w:cs="Unit-Light"/>
          <w:sz w:val="24"/>
          <w:szCs w:val="24"/>
        </w:rPr>
        <w:t xml:space="preserve">place, it will be similar to the one that brought about the demographic dividend in Eastern Asia. </w:t>
      </w:r>
      <w:r w:rsidRPr="00906879">
        <w:rPr>
          <w:rFonts w:asciiTheme="majorHAnsi" w:hAnsiTheme="majorHAnsi" w:cs="Unit-Light"/>
          <w:sz w:val="24"/>
          <w:szCs w:val="24"/>
        </w:rPr>
        <w:lastRenderedPageBreak/>
        <w:t xml:space="preserve">However such a monumental shift </w:t>
      </w:r>
      <w:r>
        <w:rPr>
          <w:rFonts w:asciiTheme="majorHAnsi" w:hAnsiTheme="majorHAnsi" w:cs="Unit-Light"/>
          <w:sz w:val="24"/>
          <w:szCs w:val="24"/>
        </w:rPr>
        <w:t xml:space="preserve">in </w:t>
      </w:r>
      <w:r w:rsidRPr="00906879">
        <w:rPr>
          <w:rFonts w:asciiTheme="majorHAnsi" w:hAnsiTheme="majorHAnsi" w:cs="Unit-Light"/>
          <w:sz w:val="24"/>
          <w:szCs w:val="24"/>
        </w:rPr>
        <w:t xml:space="preserve">a country’s demographic structure does not happen spontaneously hence Zimbabwe needs to </w:t>
      </w:r>
      <w:r>
        <w:rPr>
          <w:rFonts w:asciiTheme="majorHAnsi" w:hAnsiTheme="majorHAnsi" w:cs="Unit-Light"/>
          <w:sz w:val="24"/>
          <w:szCs w:val="24"/>
        </w:rPr>
        <w:t xml:space="preserve">deliberately </w:t>
      </w:r>
      <w:r w:rsidRPr="00906879">
        <w:rPr>
          <w:rFonts w:asciiTheme="majorHAnsi" w:hAnsiTheme="majorHAnsi" w:cs="Unit-Light"/>
          <w:sz w:val="24"/>
          <w:szCs w:val="24"/>
        </w:rPr>
        <w:t xml:space="preserve">adopt policies to achieve it.  </w:t>
      </w:r>
    </w:p>
    <w:p w:rsidR="00A67D50" w:rsidRDefault="00A67D50" w:rsidP="00412C4E">
      <w:pPr>
        <w:autoSpaceDE w:val="0"/>
        <w:autoSpaceDN w:val="0"/>
        <w:adjustRightInd w:val="0"/>
        <w:spacing w:after="0" w:line="240" w:lineRule="auto"/>
        <w:jc w:val="both"/>
        <w:rPr>
          <w:rFonts w:asciiTheme="majorHAnsi" w:hAnsiTheme="majorHAnsi" w:cs="Unit-Light"/>
          <w:sz w:val="24"/>
          <w:szCs w:val="24"/>
        </w:rPr>
      </w:pPr>
    </w:p>
    <w:p w:rsidR="00B4198C" w:rsidRPr="00B4198C" w:rsidRDefault="00B4198C" w:rsidP="00B4198C">
      <w:pPr>
        <w:pStyle w:val="Heading2"/>
        <w:rPr>
          <w:rFonts w:eastAsiaTheme="minorHAnsi"/>
          <w:b/>
          <w:color w:val="auto"/>
          <w:sz w:val="24"/>
          <w:szCs w:val="24"/>
        </w:rPr>
      </w:pPr>
      <w:bookmarkStart w:id="20" w:name="_Toc432886503"/>
      <w:r w:rsidRPr="00B4198C">
        <w:rPr>
          <w:b/>
          <w:color w:val="auto"/>
          <w:sz w:val="24"/>
          <w:szCs w:val="24"/>
        </w:rPr>
        <w:t>Policies to create a demographic bonus</w:t>
      </w:r>
      <w:bookmarkEnd w:id="20"/>
      <w:r w:rsidR="006B2DC3">
        <w:rPr>
          <w:b/>
          <w:color w:val="auto"/>
          <w:sz w:val="24"/>
          <w:szCs w:val="24"/>
        </w:rPr>
        <w:t xml:space="preserve"> and realise the demographic dividend</w:t>
      </w:r>
    </w:p>
    <w:p w:rsidR="00A67D50" w:rsidRPr="00906879" w:rsidRDefault="00A67D50" w:rsidP="00412C4E">
      <w:pPr>
        <w:autoSpaceDE w:val="0"/>
        <w:autoSpaceDN w:val="0"/>
        <w:adjustRightInd w:val="0"/>
        <w:spacing w:after="0" w:line="240" w:lineRule="auto"/>
        <w:jc w:val="both"/>
        <w:rPr>
          <w:rFonts w:asciiTheme="majorHAnsi" w:hAnsiTheme="majorHAnsi" w:cs="Tahoma"/>
          <w:sz w:val="24"/>
          <w:szCs w:val="24"/>
        </w:rPr>
      </w:pPr>
      <w:r w:rsidRPr="006B2DC3">
        <w:rPr>
          <w:rFonts w:asciiTheme="majorHAnsi" w:hAnsiTheme="majorHAnsi" w:cs="Unit-Light"/>
          <w:i/>
          <w:sz w:val="24"/>
          <w:szCs w:val="24"/>
        </w:rPr>
        <w:t>Family planning programmes need to be scaled up in order to reduce the number of children per woman</w:t>
      </w:r>
      <w:r w:rsidR="006B2DC3" w:rsidRPr="006B2DC3">
        <w:rPr>
          <w:rFonts w:asciiTheme="majorHAnsi" w:hAnsiTheme="majorHAnsi" w:cs="Unit-Light"/>
          <w:i/>
          <w:sz w:val="24"/>
          <w:szCs w:val="24"/>
        </w:rPr>
        <w:t>:</w:t>
      </w:r>
      <w:r w:rsidRPr="00906879">
        <w:rPr>
          <w:rFonts w:asciiTheme="majorHAnsi" w:hAnsiTheme="majorHAnsi" w:cs="Unit-Light"/>
          <w:sz w:val="24"/>
          <w:szCs w:val="24"/>
        </w:rPr>
        <w:t xml:space="preserve"> The Zimbabwe Demographic </w:t>
      </w:r>
      <w:r w:rsidR="002216EA">
        <w:rPr>
          <w:rFonts w:asciiTheme="majorHAnsi" w:hAnsiTheme="majorHAnsi" w:cs="Unit-Light"/>
          <w:sz w:val="24"/>
          <w:szCs w:val="24"/>
        </w:rPr>
        <w:t xml:space="preserve">and </w:t>
      </w:r>
      <w:r w:rsidRPr="00906879">
        <w:rPr>
          <w:rFonts w:asciiTheme="majorHAnsi" w:hAnsiTheme="majorHAnsi" w:cs="Unit-Light"/>
          <w:sz w:val="24"/>
          <w:szCs w:val="24"/>
        </w:rPr>
        <w:t xml:space="preserve">Health Survey 2010-11 shows that 13 percent </w:t>
      </w:r>
      <w:r w:rsidR="007F2041">
        <w:rPr>
          <w:rFonts w:asciiTheme="majorHAnsi" w:hAnsiTheme="majorHAnsi" w:cs="Unit-Light"/>
          <w:sz w:val="24"/>
          <w:szCs w:val="24"/>
        </w:rPr>
        <w:t xml:space="preserve">of currently </w:t>
      </w:r>
      <w:r w:rsidRPr="00906879">
        <w:rPr>
          <w:rFonts w:asciiTheme="majorHAnsi" w:hAnsiTheme="majorHAnsi" w:cs="Unit-Light"/>
          <w:sz w:val="24"/>
          <w:szCs w:val="24"/>
        </w:rPr>
        <w:t>married women have an unmet need for family planning services. The same survey shows that as the number of children increase</w:t>
      </w:r>
      <w:r w:rsidR="002216EA">
        <w:rPr>
          <w:rFonts w:asciiTheme="majorHAnsi" w:hAnsiTheme="majorHAnsi" w:cs="Unit-Light"/>
          <w:sz w:val="24"/>
          <w:szCs w:val="24"/>
        </w:rPr>
        <w:t>s</w:t>
      </w:r>
      <w:r w:rsidRPr="00906879">
        <w:rPr>
          <w:rFonts w:asciiTheme="majorHAnsi" w:hAnsiTheme="majorHAnsi" w:cs="Unit-Light"/>
          <w:sz w:val="24"/>
          <w:szCs w:val="24"/>
        </w:rPr>
        <w:t xml:space="preserve">, up to 4, contraceptive use also increases. This may indicate the demand for contraception to attain a desired family size. </w:t>
      </w:r>
      <w:r w:rsidRPr="00906879">
        <w:rPr>
          <w:rFonts w:asciiTheme="majorHAnsi" w:hAnsiTheme="majorHAnsi" w:cs="Tahoma"/>
          <w:sz w:val="24"/>
          <w:szCs w:val="24"/>
        </w:rPr>
        <w:t xml:space="preserve">Women’s access to reproductive health should also be improved because </w:t>
      </w:r>
      <w:r w:rsidRPr="00906879">
        <w:rPr>
          <w:rFonts w:asciiTheme="majorHAnsi" w:hAnsiTheme="majorHAnsi" w:cs="TimesNewRoman"/>
          <w:sz w:val="24"/>
          <w:szCs w:val="24"/>
        </w:rPr>
        <w:t>it</w:t>
      </w:r>
      <w:r w:rsidRPr="00906879">
        <w:rPr>
          <w:rFonts w:asciiTheme="majorHAnsi" w:hAnsiTheme="majorHAnsi" w:cs="Tahoma"/>
          <w:sz w:val="24"/>
          <w:szCs w:val="24"/>
        </w:rPr>
        <w:t xml:space="preserve"> is important for achieving desired family sizes. </w:t>
      </w:r>
    </w:p>
    <w:p w:rsidR="00A67D50" w:rsidRPr="00906879" w:rsidRDefault="00A67D50" w:rsidP="00412C4E">
      <w:pPr>
        <w:autoSpaceDE w:val="0"/>
        <w:autoSpaceDN w:val="0"/>
        <w:adjustRightInd w:val="0"/>
        <w:spacing w:after="0" w:line="240" w:lineRule="auto"/>
        <w:jc w:val="both"/>
        <w:rPr>
          <w:rFonts w:asciiTheme="majorHAnsi" w:hAnsiTheme="majorHAnsi" w:cs="Tahoma"/>
          <w:sz w:val="24"/>
          <w:szCs w:val="24"/>
        </w:rPr>
      </w:pPr>
    </w:p>
    <w:p w:rsidR="00A67D50" w:rsidRPr="00906879" w:rsidRDefault="00A67D50" w:rsidP="00412C4E">
      <w:pPr>
        <w:autoSpaceDE w:val="0"/>
        <w:autoSpaceDN w:val="0"/>
        <w:adjustRightInd w:val="0"/>
        <w:spacing w:after="0" w:line="240" w:lineRule="auto"/>
        <w:jc w:val="both"/>
        <w:rPr>
          <w:rFonts w:asciiTheme="majorHAnsi" w:hAnsiTheme="majorHAnsi"/>
          <w:sz w:val="24"/>
          <w:szCs w:val="24"/>
        </w:rPr>
      </w:pPr>
      <w:r w:rsidRPr="006B2DC3">
        <w:rPr>
          <w:rFonts w:asciiTheme="majorHAnsi" w:hAnsiTheme="majorHAnsi"/>
          <w:i/>
          <w:sz w:val="24"/>
          <w:szCs w:val="24"/>
        </w:rPr>
        <w:t xml:space="preserve">There is need to put in </w:t>
      </w:r>
      <w:r w:rsidR="006B2DC3" w:rsidRPr="006B2DC3">
        <w:rPr>
          <w:rFonts w:asciiTheme="majorHAnsi" w:hAnsiTheme="majorHAnsi"/>
          <w:i/>
          <w:sz w:val="24"/>
          <w:szCs w:val="24"/>
        </w:rPr>
        <w:t xml:space="preserve">place </w:t>
      </w:r>
      <w:r w:rsidRPr="006B2DC3">
        <w:rPr>
          <w:rFonts w:asciiTheme="majorHAnsi" w:hAnsiTheme="majorHAnsi"/>
          <w:i/>
          <w:sz w:val="24"/>
          <w:szCs w:val="24"/>
        </w:rPr>
        <w:t>policies that delay the onset of childbearing among girls, as it has been shown that childbearing st</w:t>
      </w:r>
      <w:r w:rsidR="006B2DC3" w:rsidRPr="006B2DC3">
        <w:rPr>
          <w:rFonts w:asciiTheme="majorHAnsi" w:hAnsiTheme="majorHAnsi"/>
          <w:i/>
          <w:sz w:val="24"/>
          <w:szCs w:val="24"/>
        </w:rPr>
        <w:t>ill occurs too soon in Zimbabwe:</w:t>
      </w:r>
      <w:r w:rsidRPr="006B2DC3">
        <w:rPr>
          <w:rFonts w:asciiTheme="majorHAnsi" w:hAnsiTheme="majorHAnsi"/>
          <w:i/>
          <w:sz w:val="24"/>
          <w:szCs w:val="24"/>
        </w:rPr>
        <w:t xml:space="preserve"> </w:t>
      </w:r>
      <w:r w:rsidRPr="00906879">
        <w:rPr>
          <w:rFonts w:asciiTheme="majorHAnsi" w:hAnsiTheme="majorHAnsi"/>
          <w:sz w:val="24"/>
          <w:szCs w:val="24"/>
        </w:rPr>
        <w:t xml:space="preserve">This can be achieved through instituting laws against early marriage, as girls who marry early are more likely to have more children than their peers who stay in school and marry later. Early marriage also reduces women’s economic contribution. </w:t>
      </w:r>
    </w:p>
    <w:p w:rsidR="006B2DC3" w:rsidRDefault="006B2DC3" w:rsidP="00412C4E">
      <w:pPr>
        <w:autoSpaceDE w:val="0"/>
        <w:autoSpaceDN w:val="0"/>
        <w:adjustRightInd w:val="0"/>
        <w:spacing w:after="0" w:line="240" w:lineRule="auto"/>
        <w:jc w:val="both"/>
        <w:rPr>
          <w:rFonts w:asciiTheme="majorHAnsi" w:hAnsiTheme="majorHAnsi"/>
          <w:sz w:val="24"/>
          <w:szCs w:val="24"/>
        </w:rPr>
      </w:pPr>
    </w:p>
    <w:p w:rsidR="00A67D50" w:rsidRPr="00906879" w:rsidRDefault="006B2DC3" w:rsidP="00412C4E">
      <w:pPr>
        <w:autoSpaceDE w:val="0"/>
        <w:autoSpaceDN w:val="0"/>
        <w:adjustRightInd w:val="0"/>
        <w:spacing w:after="0" w:line="240" w:lineRule="auto"/>
        <w:jc w:val="both"/>
        <w:rPr>
          <w:rFonts w:asciiTheme="majorHAnsi" w:hAnsiTheme="majorHAnsi"/>
          <w:sz w:val="24"/>
          <w:szCs w:val="24"/>
        </w:rPr>
      </w:pPr>
      <w:r w:rsidRPr="006B2DC3">
        <w:rPr>
          <w:rFonts w:asciiTheme="majorHAnsi" w:hAnsiTheme="majorHAnsi" w:cs="Unit-Light"/>
          <w:i/>
          <w:sz w:val="24"/>
          <w:szCs w:val="24"/>
        </w:rPr>
        <w:t>Zimbabwe should strive to have the majority of its population attain secondary education:</w:t>
      </w:r>
      <w:r w:rsidRPr="00906879">
        <w:rPr>
          <w:rFonts w:asciiTheme="majorHAnsi" w:hAnsiTheme="majorHAnsi" w:cs="Unit-Light"/>
          <w:sz w:val="24"/>
          <w:szCs w:val="24"/>
        </w:rPr>
        <w:t xml:space="preserve"> Besides lowering fertility</w:t>
      </w:r>
      <w:r w:rsidR="002216EA">
        <w:rPr>
          <w:rFonts w:asciiTheme="majorHAnsi" w:hAnsiTheme="majorHAnsi" w:cs="Unit-Light"/>
          <w:sz w:val="24"/>
          <w:szCs w:val="24"/>
        </w:rPr>
        <w:t xml:space="preserve"> and mortality,</w:t>
      </w:r>
      <w:r w:rsidRPr="00906879">
        <w:rPr>
          <w:rFonts w:asciiTheme="majorHAnsi" w:hAnsiTheme="majorHAnsi" w:cs="Unit-Light"/>
          <w:sz w:val="24"/>
          <w:szCs w:val="24"/>
        </w:rPr>
        <w:t xml:space="preserve"> higher levels of educational attainment will justify large investments in universities in order to create the human capital necessary for an innovative and productive economy. </w:t>
      </w:r>
      <w:r w:rsidR="002216EA">
        <w:rPr>
          <w:rFonts w:asciiTheme="majorHAnsi" w:hAnsiTheme="majorHAnsi" w:cs="Unit-Light"/>
          <w:sz w:val="24"/>
          <w:szCs w:val="24"/>
        </w:rPr>
        <w:t>E</w:t>
      </w:r>
      <w:r w:rsidRPr="00906879">
        <w:rPr>
          <w:rFonts w:asciiTheme="majorHAnsi" w:hAnsiTheme="majorHAnsi" w:cs="Unit-Light"/>
          <w:sz w:val="24"/>
          <w:szCs w:val="24"/>
        </w:rPr>
        <w:t>mphasis should also be placed on vocational training because it introduces young people to the real working environment. This is important since the realisation of the demographic dividend requires higher levels of productivit</w:t>
      </w:r>
      <w:r>
        <w:rPr>
          <w:rFonts w:asciiTheme="majorHAnsi" w:hAnsiTheme="majorHAnsi" w:cs="Unit-Light"/>
          <w:sz w:val="24"/>
          <w:szCs w:val="24"/>
        </w:rPr>
        <w:t xml:space="preserve">y to create savings and wealth. </w:t>
      </w:r>
      <w:r w:rsidR="002216EA">
        <w:rPr>
          <w:rFonts w:asciiTheme="majorHAnsi" w:hAnsiTheme="majorHAnsi" w:cs="Unit-Light"/>
          <w:sz w:val="24"/>
          <w:szCs w:val="24"/>
        </w:rPr>
        <w:t>Furthermore, e</w:t>
      </w:r>
      <w:r w:rsidR="00A67D50" w:rsidRPr="00906879">
        <w:rPr>
          <w:rFonts w:asciiTheme="majorHAnsi" w:hAnsiTheme="majorHAnsi" w:cs="Unit-Light"/>
          <w:sz w:val="24"/>
          <w:szCs w:val="24"/>
        </w:rPr>
        <w:t xml:space="preserve">ducation </w:t>
      </w:r>
      <w:r w:rsidR="00A67D50" w:rsidRPr="00906879">
        <w:rPr>
          <w:rFonts w:asciiTheme="majorHAnsi" w:hAnsiTheme="majorHAnsi"/>
          <w:sz w:val="24"/>
          <w:szCs w:val="24"/>
        </w:rPr>
        <w:t>diminish</w:t>
      </w:r>
      <w:r w:rsidR="00A67D50">
        <w:rPr>
          <w:rFonts w:asciiTheme="majorHAnsi" w:hAnsiTheme="majorHAnsi"/>
          <w:sz w:val="24"/>
          <w:szCs w:val="24"/>
        </w:rPr>
        <w:t>es</w:t>
      </w:r>
      <w:r w:rsidR="00A67D50" w:rsidRPr="00906879">
        <w:rPr>
          <w:rFonts w:asciiTheme="majorHAnsi" w:hAnsiTheme="majorHAnsi"/>
          <w:sz w:val="24"/>
          <w:szCs w:val="24"/>
        </w:rPr>
        <w:t xml:space="preserve"> the economic value of children, as educated parents have more chances of getting a job that provides security in old age. More educated parents have higher aspirations for their children, which increases investment in their health and education, thereby reducing their numbers as a trade off with quality. </w:t>
      </w:r>
    </w:p>
    <w:p w:rsidR="00A67D50" w:rsidRPr="00906879" w:rsidRDefault="00A67D50" w:rsidP="00412C4E">
      <w:pPr>
        <w:autoSpaceDE w:val="0"/>
        <w:autoSpaceDN w:val="0"/>
        <w:adjustRightInd w:val="0"/>
        <w:spacing w:after="0" w:line="240" w:lineRule="auto"/>
        <w:jc w:val="both"/>
        <w:rPr>
          <w:rFonts w:asciiTheme="majorHAnsi" w:hAnsiTheme="majorHAnsi"/>
          <w:sz w:val="24"/>
          <w:szCs w:val="24"/>
        </w:rPr>
      </w:pPr>
    </w:p>
    <w:p w:rsidR="00A67D50" w:rsidRPr="00906879" w:rsidRDefault="00582010" w:rsidP="00412C4E">
      <w:pPr>
        <w:autoSpaceDE w:val="0"/>
        <w:autoSpaceDN w:val="0"/>
        <w:adjustRightInd w:val="0"/>
        <w:spacing w:after="0" w:line="240" w:lineRule="auto"/>
        <w:jc w:val="both"/>
        <w:rPr>
          <w:rFonts w:asciiTheme="majorHAnsi" w:hAnsiTheme="majorHAnsi" w:cs="Tahoma"/>
          <w:sz w:val="24"/>
          <w:szCs w:val="24"/>
        </w:rPr>
      </w:pPr>
      <w:r>
        <w:rPr>
          <w:rFonts w:asciiTheme="majorHAnsi" w:hAnsiTheme="majorHAnsi" w:cs="Tahoma"/>
          <w:i/>
          <w:sz w:val="24"/>
          <w:szCs w:val="24"/>
        </w:rPr>
        <w:t>E</w:t>
      </w:r>
      <w:r w:rsidR="006B2DC3" w:rsidRPr="006B2DC3">
        <w:rPr>
          <w:rFonts w:asciiTheme="majorHAnsi" w:hAnsiTheme="majorHAnsi" w:cs="Tahoma"/>
          <w:i/>
          <w:sz w:val="24"/>
          <w:szCs w:val="24"/>
        </w:rPr>
        <w:t>ffective medical care should be afforded infants to improve their survival chances and take away the need to have many children as an insurance against child deaths:</w:t>
      </w:r>
      <w:r w:rsidR="006B2DC3">
        <w:rPr>
          <w:rFonts w:asciiTheme="majorHAnsi" w:hAnsiTheme="majorHAnsi" w:cs="Unit-Light"/>
          <w:sz w:val="24"/>
          <w:szCs w:val="24"/>
        </w:rPr>
        <w:t xml:space="preserve"> </w:t>
      </w:r>
      <w:r w:rsidRPr="00582010">
        <w:rPr>
          <w:rFonts w:asciiTheme="majorHAnsi" w:hAnsiTheme="majorHAnsi" w:cs="Tahoma"/>
          <w:sz w:val="24"/>
          <w:szCs w:val="24"/>
        </w:rPr>
        <w:t>This is because w</w:t>
      </w:r>
      <w:r w:rsidRPr="00582010">
        <w:rPr>
          <w:rFonts w:asciiTheme="majorHAnsi" w:hAnsiTheme="majorHAnsi" w:cs="Unit-Light"/>
          <w:sz w:val="24"/>
          <w:szCs w:val="24"/>
        </w:rPr>
        <w:t>here demographic transition has taken place, mortality decline preceded fertility decline</w:t>
      </w:r>
      <w:r>
        <w:rPr>
          <w:rFonts w:asciiTheme="majorHAnsi" w:hAnsiTheme="majorHAnsi" w:cs="Unit-Light"/>
          <w:sz w:val="24"/>
          <w:szCs w:val="24"/>
        </w:rPr>
        <w:t xml:space="preserve">. </w:t>
      </w:r>
      <w:r w:rsidR="00A67D50" w:rsidRPr="00906879">
        <w:rPr>
          <w:rFonts w:asciiTheme="majorHAnsi" w:hAnsiTheme="majorHAnsi" w:cs="Tahoma"/>
          <w:sz w:val="24"/>
          <w:szCs w:val="24"/>
        </w:rPr>
        <w:t>This also ensures that investment in education is concentrated in fewer children</w:t>
      </w:r>
      <w:r>
        <w:rPr>
          <w:rFonts w:asciiTheme="majorHAnsi" w:hAnsiTheme="majorHAnsi" w:cs="Tahoma"/>
          <w:sz w:val="24"/>
          <w:szCs w:val="24"/>
        </w:rPr>
        <w:t xml:space="preserve">, even though a </w:t>
      </w:r>
      <w:r w:rsidR="00A67D50" w:rsidRPr="00906879">
        <w:rPr>
          <w:rFonts w:asciiTheme="majorHAnsi" w:hAnsiTheme="majorHAnsi" w:cs="Tahoma"/>
          <w:sz w:val="24"/>
          <w:szCs w:val="24"/>
        </w:rPr>
        <w:t>huge investment in public health to combat communicable diseases</w:t>
      </w:r>
      <w:r>
        <w:rPr>
          <w:rFonts w:asciiTheme="majorHAnsi" w:hAnsiTheme="majorHAnsi" w:cs="Tahoma"/>
          <w:sz w:val="24"/>
          <w:szCs w:val="24"/>
        </w:rPr>
        <w:t xml:space="preserve"> may be required</w:t>
      </w:r>
      <w:r w:rsidR="00A67D50" w:rsidRPr="00906879">
        <w:rPr>
          <w:rFonts w:asciiTheme="majorHAnsi" w:hAnsiTheme="majorHAnsi" w:cs="Tahoma"/>
          <w:sz w:val="24"/>
          <w:szCs w:val="24"/>
        </w:rPr>
        <w:t xml:space="preserve">. </w:t>
      </w:r>
    </w:p>
    <w:p w:rsidR="00A67D50" w:rsidRPr="00906879" w:rsidRDefault="00A67D50" w:rsidP="00412C4E">
      <w:pPr>
        <w:autoSpaceDE w:val="0"/>
        <w:autoSpaceDN w:val="0"/>
        <w:adjustRightInd w:val="0"/>
        <w:spacing w:after="0" w:line="240" w:lineRule="auto"/>
        <w:jc w:val="both"/>
        <w:rPr>
          <w:rFonts w:asciiTheme="majorHAnsi" w:hAnsiTheme="majorHAnsi" w:cs="Tahoma"/>
          <w:sz w:val="24"/>
          <w:szCs w:val="24"/>
        </w:rPr>
      </w:pPr>
    </w:p>
    <w:p w:rsidR="00A67D50" w:rsidRPr="00906879" w:rsidRDefault="002216EA" w:rsidP="00412C4E">
      <w:pPr>
        <w:autoSpaceDE w:val="0"/>
        <w:autoSpaceDN w:val="0"/>
        <w:adjustRightInd w:val="0"/>
        <w:spacing w:after="0" w:line="240" w:lineRule="auto"/>
        <w:jc w:val="both"/>
        <w:rPr>
          <w:rFonts w:asciiTheme="majorHAnsi" w:hAnsiTheme="majorHAnsi"/>
          <w:sz w:val="24"/>
          <w:szCs w:val="24"/>
        </w:rPr>
      </w:pPr>
      <w:r w:rsidRPr="002216EA">
        <w:rPr>
          <w:rFonts w:asciiTheme="majorHAnsi" w:hAnsiTheme="majorHAnsi"/>
          <w:i/>
          <w:sz w:val="24"/>
          <w:szCs w:val="24"/>
        </w:rPr>
        <w:t xml:space="preserve">The country should </w:t>
      </w:r>
      <w:r w:rsidR="00A67D50" w:rsidRPr="002216EA">
        <w:rPr>
          <w:rFonts w:asciiTheme="majorHAnsi" w:hAnsiTheme="majorHAnsi"/>
          <w:i/>
          <w:sz w:val="24"/>
          <w:szCs w:val="24"/>
        </w:rPr>
        <w:t>create jobs mainly in highly productive sectors with high demand for low skilled workers</w:t>
      </w:r>
      <w:r w:rsidRPr="002216EA">
        <w:rPr>
          <w:rFonts w:asciiTheme="majorHAnsi" w:hAnsiTheme="majorHAnsi"/>
          <w:i/>
          <w:sz w:val="24"/>
          <w:szCs w:val="24"/>
        </w:rPr>
        <w:t>:</w:t>
      </w:r>
      <w:r w:rsidR="00A67D50" w:rsidRPr="00906879">
        <w:rPr>
          <w:rFonts w:asciiTheme="majorHAnsi" w:hAnsiTheme="majorHAnsi"/>
          <w:sz w:val="24"/>
          <w:szCs w:val="24"/>
        </w:rPr>
        <w:t xml:space="preserve"> However as the level of education increases jobs would need to be created in knowledge intensive sectors that have greater added value. The job market needs to be liberalised and the private sector must also play a part in labour training. There should also be equality of employment opportunity between men and women. </w:t>
      </w:r>
    </w:p>
    <w:p w:rsidR="00A67D50" w:rsidRPr="00906879" w:rsidRDefault="00A67D50" w:rsidP="00412C4E">
      <w:pPr>
        <w:autoSpaceDE w:val="0"/>
        <w:autoSpaceDN w:val="0"/>
        <w:adjustRightInd w:val="0"/>
        <w:spacing w:after="0" w:line="240" w:lineRule="auto"/>
        <w:jc w:val="both"/>
        <w:rPr>
          <w:rFonts w:asciiTheme="majorHAnsi" w:hAnsiTheme="majorHAnsi"/>
          <w:sz w:val="24"/>
          <w:szCs w:val="24"/>
        </w:rPr>
      </w:pPr>
    </w:p>
    <w:p w:rsidR="00A67D50" w:rsidRPr="00906879" w:rsidRDefault="002216EA" w:rsidP="00412C4E">
      <w:pPr>
        <w:autoSpaceDE w:val="0"/>
        <w:autoSpaceDN w:val="0"/>
        <w:adjustRightInd w:val="0"/>
        <w:spacing w:after="0" w:line="240" w:lineRule="auto"/>
        <w:jc w:val="both"/>
        <w:rPr>
          <w:rFonts w:asciiTheme="majorHAnsi" w:hAnsiTheme="majorHAnsi" w:cs="Unit-Light"/>
          <w:sz w:val="24"/>
          <w:szCs w:val="24"/>
        </w:rPr>
      </w:pPr>
      <w:r w:rsidRPr="002216EA">
        <w:rPr>
          <w:rFonts w:asciiTheme="majorHAnsi" w:hAnsiTheme="majorHAnsi" w:cs="Unit-Light"/>
          <w:i/>
          <w:sz w:val="24"/>
          <w:szCs w:val="24"/>
        </w:rPr>
        <w:t>Zimbabwe should further strengthen its social security systems during the demographic transition phase:</w:t>
      </w:r>
      <w:r w:rsidRPr="00906879">
        <w:rPr>
          <w:rFonts w:asciiTheme="majorHAnsi" w:hAnsiTheme="majorHAnsi" w:cs="Unit-Light"/>
          <w:sz w:val="24"/>
          <w:szCs w:val="24"/>
        </w:rPr>
        <w:t xml:space="preserve"> </w:t>
      </w:r>
      <w:r>
        <w:rPr>
          <w:rFonts w:asciiTheme="majorHAnsi" w:hAnsiTheme="majorHAnsi" w:cs="Unit-Light"/>
          <w:sz w:val="24"/>
          <w:szCs w:val="24"/>
        </w:rPr>
        <w:t>This is because t</w:t>
      </w:r>
      <w:r w:rsidR="00A67D50" w:rsidRPr="00906879">
        <w:rPr>
          <w:rFonts w:asciiTheme="majorHAnsi" w:hAnsiTheme="majorHAnsi" w:cs="Unit-Light"/>
          <w:sz w:val="24"/>
          <w:szCs w:val="24"/>
        </w:rPr>
        <w:t>he demographic bonus will not last forever</w:t>
      </w:r>
      <w:r>
        <w:rPr>
          <w:rFonts w:asciiTheme="majorHAnsi" w:hAnsiTheme="majorHAnsi" w:cs="Unit-Light"/>
          <w:sz w:val="24"/>
          <w:szCs w:val="24"/>
        </w:rPr>
        <w:t>. A</w:t>
      </w:r>
      <w:r w:rsidR="00A67D50" w:rsidRPr="00906879">
        <w:rPr>
          <w:rFonts w:asciiTheme="majorHAnsi" w:hAnsiTheme="majorHAnsi" w:cs="Unit-Light"/>
          <w:sz w:val="24"/>
          <w:szCs w:val="24"/>
        </w:rPr>
        <w:t xml:space="preserve">s the large population cohorts that created </w:t>
      </w:r>
      <w:r>
        <w:rPr>
          <w:rFonts w:asciiTheme="majorHAnsi" w:hAnsiTheme="majorHAnsi" w:cs="Unit-Light"/>
          <w:sz w:val="24"/>
          <w:szCs w:val="24"/>
        </w:rPr>
        <w:t>the bonus</w:t>
      </w:r>
      <w:r w:rsidR="00A67D50" w:rsidRPr="00906879">
        <w:rPr>
          <w:rFonts w:asciiTheme="majorHAnsi" w:hAnsiTheme="majorHAnsi" w:cs="Unit-Light"/>
          <w:sz w:val="24"/>
          <w:szCs w:val="24"/>
        </w:rPr>
        <w:t xml:space="preserve"> age into retirement</w:t>
      </w:r>
      <w:r>
        <w:rPr>
          <w:rFonts w:asciiTheme="majorHAnsi" w:hAnsiTheme="majorHAnsi" w:cs="Unit-Light"/>
          <w:sz w:val="24"/>
          <w:szCs w:val="24"/>
        </w:rPr>
        <w:t>,</w:t>
      </w:r>
      <w:r w:rsidR="00A67D50" w:rsidRPr="00906879">
        <w:rPr>
          <w:rFonts w:asciiTheme="majorHAnsi" w:hAnsiTheme="majorHAnsi" w:cs="Unit-Light"/>
          <w:sz w:val="24"/>
          <w:szCs w:val="24"/>
        </w:rPr>
        <w:t xml:space="preserve"> the following generations are fewer in size, because of declining fertility, so the proportion of the working age population declines whereas the share of the older, economically dependent people increases. Other policies, such as keeping the older generations longer in the labour force, may be an option. </w:t>
      </w:r>
    </w:p>
    <w:p w:rsidR="00DD1853" w:rsidRDefault="00DD1853" w:rsidP="00412C4E">
      <w:pPr>
        <w:autoSpaceDE w:val="0"/>
        <w:autoSpaceDN w:val="0"/>
        <w:adjustRightInd w:val="0"/>
        <w:spacing w:after="0" w:line="240" w:lineRule="auto"/>
        <w:jc w:val="both"/>
        <w:rPr>
          <w:rFonts w:asciiTheme="majorHAnsi" w:hAnsiTheme="majorHAnsi" w:cs="HelveticaNeue-Roman"/>
          <w:sz w:val="24"/>
          <w:szCs w:val="24"/>
        </w:rPr>
      </w:pPr>
    </w:p>
    <w:p w:rsidR="00DD1853" w:rsidRDefault="00E82386" w:rsidP="00412C4E">
      <w:pPr>
        <w:autoSpaceDE w:val="0"/>
        <w:autoSpaceDN w:val="0"/>
        <w:adjustRightInd w:val="0"/>
        <w:spacing w:after="0" w:line="240" w:lineRule="auto"/>
        <w:jc w:val="both"/>
        <w:rPr>
          <w:rFonts w:asciiTheme="majorHAnsi" w:hAnsiTheme="majorHAnsi" w:cs="HelveticaNeue-Roman"/>
          <w:sz w:val="24"/>
          <w:szCs w:val="24"/>
        </w:rPr>
      </w:pPr>
      <w:r>
        <w:rPr>
          <w:rFonts w:asciiTheme="majorHAnsi" w:hAnsiTheme="majorHAnsi" w:cs="HelveticaNeue-Roman"/>
          <w:sz w:val="24"/>
          <w:szCs w:val="24"/>
        </w:rPr>
        <w:t>For more information on the results of the 2012 Zimbabwe Population Census Thematic Analysis, please contact:</w:t>
      </w:r>
    </w:p>
    <w:p w:rsidR="00E82386" w:rsidRDefault="00E82386" w:rsidP="00412C4E">
      <w:pPr>
        <w:autoSpaceDE w:val="0"/>
        <w:autoSpaceDN w:val="0"/>
        <w:adjustRightInd w:val="0"/>
        <w:spacing w:after="0" w:line="240" w:lineRule="auto"/>
        <w:jc w:val="both"/>
        <w:rPr>
          <w:rFonts w:asciiTheme="majorHAnsi" w:hAnsiTheme="majorHAnsi" w:cs="HelveticaNeue-Roman"/>
          <w:sz w:val="24"/>
          <w:szCs w:val="24"/>
        </w:rPr>
      </w:pPr>
    </w:p>
    <w:p w:rsidR="00E82386" w:rsidRPr="00E82386" w:rsidRDefault="00E82386" w:rsidP="00E82386">
      <w:pPr>
        <w:spacing w:after="0" w:line="240" w:lineRule="auto"/>
        <w:rPr>
          <w:b/>
          <w:bCs/>
          <w:sz w:val="24"/>
          <w:szCs w:val="24"/>
        </w:rPr>
      </w:pPr>
      <w:r w:rsidRPr="00E82386">
        <w:rPr>
          <w:b/>
          <w:bCs/>
          <w:sz w:val="24"/>
          <w:szCs w:val="24"/>
        </w:rPr>
        <w:t>Zimbabwe National Statistics Agency (</w:t>
      </w:r>
      <w:proofErr w:type="spellStart"/>
      <w:r w:rsidRPr="00E82386">
        <w:rPr>
          <w:b/>
          <w:bCs/>
          <w:sz w:val="24"/>
          <w:szCs w:val="24"/>
        </w:rPr>
        <w:t>Zimstat</w:t>
      </w:r>
      <w:proofErr w:type="spellEnd"/>
      <w:r w:rsidRPr="00E82386">
        <w:rPr>
          <w:b/>
          <w:bCs/>
          <w:sz w:val="24"/>
          <w:szCs w:val="24"/>
        </w:rPr>
        <w:t>)</w:t>
      </w:r>
    </w:p>
    <w:p w:rsidR="00DD1853" w:rsidRPr="00E82386" w:rsidRDefault="00DD1853" w:rsidP="00E82386">
      <w:pPr>
        <w:spacing w:after="0" w:line="240" w:lineRule="auto"/>
        <w:rPr>
          <w:bCs/>
          <w:sz w:val="24"/>
          <w:szCs w:val="24"/>
        </w:rPr>
      </w:pPr>
      <w:r w:rsidRPr="00E82386">
        <w:rPr>
          <w:bCs/>
          <w:sz w:val="24"/>
          <w:szCs w:val="24"/>
        </w:rPr>
        <w:t>Population Census Office</w:t>
      </w:r>
    </w:p>
    <w:p w:rsidR="00DD1853" w:rsidRPr="00E82386" w:rsidRDefault="00DD1853" w:rsidP="00E82386">
      <w:pPr>
        <w:spacing w:after="0" w:line="240" w:lineRule="auto"/>
        <w:rPr>
          <w:bCs/>
          <w:sz w:val="24"/>
          <w:szCs w:val="24"/>
        </w:rPr>
      </w:pPr>
      <w:r w:rsidRPr="00E82386">
        <w:rPr>
          <w:bCs/>
          <w:sz w:val="24"/>
          <w:szCs w:val="24"/>
        </w:rPr>
        <w:t>P.O. Box CY342</w:t>
      </w:r>
    </w:p>
    <w:p w:rsidR="00DD1853" w:rsidRPr="00E82386" w:rsidRDefault="00DD1853" w:rsidP="00E82386">
      <w:pPr>
        <w:spacing w:after="0" w:line="240" w:lineRule="auto"/>
        <w:rPr>
          <w:bCs/>
          <w:sz w:val="24"/>
          <w:szCs w:val="24"/>
        </w:rPr>
      </w:pPr>
      <w:r w:rsidRPr="00E82386">
        <w:rPr>
          <w:bCs/>
          <w:sz w:val="24"/>
          <w:szCs w:val="24"/>
        </w:rPr>
        <w:t>Causeway</w:t>
      </w:r>
    </w:p>
    <w:p w:rsidR="00DD1853" w:rsidRPr="00E82386" w:rsidRDefault="00DD1853" w:rsidP="00E82386">
      <w:pPr>
        <w:spacing w:after="0" w:line="240" w:lineRule="auto"/>
        <w:rPr>
          <w:bCs/>
          <w:sz w:val="24"/>
          <w:szCs w:val="24"/>
        </w:rPr>
      </w:pPr>
      <w:r w:rsidRPr="00E82386">
        <w:rPr>
          <w:bCs/>
          <w:sz w:val="24"/>
          <w:szCs w:val="24"/>
        </w:rPr>
        <w:t>Harare</w:t>
      </w:r>
    </w:p>
    <w:p w:rsidR="00DD1853" w:rsidRPr="00E82386" w:rsidRDefault="00DD1853" w:rsidP="00E82386">
      <w:pPr>
        <w:spacing w:after="0" w:line="240" w:lineRule="auto"/>
        <w:rPr>
          <w:bCs/>
          <w:sz w:val="24"/>
          <w:szCs w:val="24"/>
        </w:rPr>
      </w:pPr>
      <w:r w:rsidRPr="00E82386">
        <w:rPr>
          <w:bCs/>
          <w:sz w:val="24"/>
          <w:szCs w:val="24"/>
        </w:rPr>
        <w:t>Tel: 04-793971-2</w:t>
      </w:r>
      <w:r w:rsidR="00582010">
        <w:rPr>
          <w:bCs/>
          <w:sz w:val="24"/>
          <w:szCs w:val="24"/>
        </w:rPr>
        <w:t xml:space="preserve">, </w:t>
      </w:r>
      <w:r w:rsidRPr="00E82386">
        <w:rPr>
          <w:bCs/>
          <w:sz w:val="24"/>
          <w:szCs w:val="24"/>
        </w:rPr>
        <w:t>04-794756</w:t>
      </w:r>
    </w:p>
    <w:p w:rsidR="00DD1853" w:rsidRPr="00E82386" w:rsidRDefault="00DD1853" w:rsidP="00E82386">
      <w:pPr>
        <w:spacing w:after="0" w:line="240" w:lineRule="auto"/>
        <w:rPr>
          <w:bCs/>
          <w:sz w:val="24"/>
          <w:szCs w:val="24"/>
        </w:rPr>
      </w:pPr>
      <w:r w:rsidRPr="00E82386">
        <w:rPr>
          <w:bCs/>
          <w:sz w:val="24"/>
          <w:szCs w:val="24"/>
        </w:rPr>
        <w:t xml:space="preserve">E-mail: </w:t>
      </w:r>
      <w:hyperlink r:id="rId40" w:history="1">
        <w:r w:rsidRPr="00E82386">
          <w:rPr>
            <w:rStyle w:val="Hyperlink"/>
            <w:bCs/>
            <w:sz w:val="24"/>
            <w:szCs w:val="24"/>
          </w:rPr>
          <w:t>census2012@zimstat.ac.zw</w:t>
        </w:r>
      </w:hyperlink>
    </w:p>
    <w:p w:rsidR="00DD1853" w:rsidRPr="000547D0" w:rsidRDefault="00DD1853" w:rsidP="00E82386">
      <w:pPr>
        <w:spacing w:after="0" w:line="240" w:lineRule="auto"/>
        <w:jc w:val="center"/>
        <w:rPr>
          <w:b/>
          <w:bCs/>
        </w:rPr>
      </w:pPr>
    </w:p>
    <w:p w:rsidR="00E82386" w:rsidRPr="00C62FC1" w:rsidRDefault="00E82386" w:rsidP="00E82386">
      <w:pPr>
        <w:spacing w:after="0" w:line="240" w:lineRule="auto"/>
        <w:rPr>
          <w:b/>
          <w:bCs/>
          <w:sz w:val="24"/>
          <w:szCs w:val="24"/>
        </w:rPr>
      </w:pPr>
      <w:r w:rsidRPr="00C62FC1">
        <w:rPr>
          <w:b/>
          <w:bCs/>
          <w:sz w:val="24"/>
          <w:szCs w:val="24"/>
        </w:rPr>
        <w:t>United Nations Population Fund (UNFPA)</w:t>
      </w:r>
    </w:p>
    <w:p w:rsidR="00C62FC1" w:rsidRPr="00C62FC1" w:rsidRDefault="00C62FC1" w:rsidP="00E82386">
      <w:pPr>
        <w:spacing w:after="0" w:line="240" w:lineRule="auto"/>
        <w:rPr>
          <w:bCs/>
          <w:sz w:val="24"/>
          <w:szCs w:val="24"/>
        </w:rPr>
      </w:pPr>
      <w:r w:rsidRPr="00C62FC1">
        <w:rPr>
          <w:bCs/>
          <w:sz w:val="24"/>
          <w:szCs w:val="24"/>
        </w:rPr>
        <w:t>First Floor, Block 7</w:t>
      </w:r>
    </w:p>
    <w:p w:rsidR="00C62FC1" w:rsidRPr="00C62FC1" w:rsidRDefault="00C62FC1" w:rsidP="00E82386">
      <w:pPr>
        <w:spacing w:after="0" w:line="240" w:lineRule="auto"/>
        <w:rPr>
          <w:bCs/>
          <w:sz w:val="24"/>
          <w:szCs w:val="24"/>
        </w:rPr>
      </w:pPr>
      <w:r w:rsidRPr="00C62FC1">
        <w:rPr>
          <w:bCs/>
          <w:sz w:val="24"/>
          <w:szCs w:val="24"/>
        </w:rPr>
        <w:t>Arundel Office Park</w:t>
      </w:r>
    </w:p>
    <w:p w:rsidR="00C62FC1" w:rsidRPr="00C62FC1" w:rsidRDefault="00C62FC1" w:rsidP="00E82386">
      <w:pPr>
        <w:spacing w:after="0" w:line="240" w:lineRule="auto"/>
        <w:rPr>
          <w:bCs/>
          <w:sz w:val="24"/>
          <w:szCs w:val="24"/>
        </w:rPr>
      </w:pPr>
      <w:r w:rsidRPr="00C62FC1">
        <w:rPr>
          <w:bCs/>
          <w:sz w:val="24"/>
          <w:szCs w:val="24"/>
        </w:rPr>
        <w:t>Norfolk Road</w:t>
      </w:r>
    </w:p>
    <w:p w:rsidR="00C62FC1" w:rsidRPr="00C62FC1" w:rsidRDefault="00C62FC1" w:rsidP="00E82386">
      <w:pPr>
        <w:spacing w:after="0" w:line="240" w:lineRule="auto"/>
        <w:rPr>
          <w:bCs/>
          <w:sz w:val="24"/>
          <w:szCs w:val="24"/>
        </w:rPr>
      </w:pPr>
      <w:r w:rsidRPr="00C62FC1">
        <w:rPr>
          <w:bCs/>
          <w:sz w:val="24"/>
          <w:szCs w:val="24"/>
        </w:rPr>
        <w:t>Mt. Pleasant,</w:t>
      </w:r>
    </w:p>
    <w:p w:rsidR="00C62FC1" w:rsidRPr="00C62FC1" w:rsidRDefault="00C62FC1" w:rsidP="00E82386">
      <w:pPr>
        <w:spacing w:after="0" w:line="240" w:lineRule="auto"/>
        <w:rPr>
          <w:bCs/>
          <w:sz w:val="24"/>
          <w:szCs w:val="24"/>
        </w:rPr>
      </w:pPr>
      <w:r w:rsidRPr="00C62FC1">
        <w:rPr>
          <w:bCs/>
          <w:sz w:val="24"/>
          <w:szCs w:val="24"/>
        </w:rPr>
        <w:t>P. O. Box 4775</w:t>
      </w:r>
    </w:p>
    <w:p w:rsidR="00C62FC1" w:rsidRPr="00C62FC1" w:rsidRDefault="00C62FC1" w:rsidP="00E82386">
      <w:pPr>
        <w:spacing w:after="0" w:line="240" w:lineRule="auto"/>
        <w:rPr>
          <w:bCs/>
          <w:sz w:val="24"/>
          <w:szCs w:val="24"/>
        </w:rPr>
      </w:pPr>
      <w:r w:rsidRPr="00C62FC1">
        <w:rPr>
          <w:bCs/>
          <w:sz w:val="24"/>
          <w:szCs w:val="24"/>
        </w:rPr>
        <w:t>Harare</w:t>
      </w:r>
    </w:p>
    <w:p w:rsidR="00C62FC1" w:rsidRPr="00C62FC1" w:rsidRDefault="00E82386" w:rsidP="00C62FC1">
      <w:pPr>
        <w:pStyle w:val="Footer"/>
        <w:ind w:right="360"/>
        <w:rPr>
          <w:snapToGrid w:val="0"/>
          <w:sz w:val="24"/>
          <w:szCs w:val="24"/>
        </w:rPr>
      </w:pPr>
      <w:r w:rsidRPr="00C62FC1">
        <w:rPr>
          <w:bCs/>
          <w:sz w:val="24"/>
          <w:szCs w:val="24"/>
        </w:rPr>
        <w:t>Tel:</w:t>
      </w:r>
      <w:r w:rsidR="00C62FC1" w:rsidRPr="00C62FC1">
        <w:rPr>
          <w:bCs/>
          <w:sz w:val="24"/>
          <w:szCs w:val="24"/>
        </w:rPr>
        <w:t xml:space="preserve"> </w:t>
      </w:r>
      <w:r w:rsidR="00C62FC1" w:rsidRPr="00C62FC1">
        <w:rPr>
          <w:snapToGrid w:val="0"/>
          <w:sz w:val="24"/>
          <w:szCs w:val="24"/>
        </w:rPr>
        <w:t xml:space="preserve">+263 4 338836-44, +263 912 572870-73, +263 912 125381 </w:t>
      </w:r>
    </w:p>
    <w:p w:rsidR="00C62FC1" w:rsidRPr="00C62FC1" w:rsidRDefault="00C62FC1" w:rsidP="00C62FC1">
      <w:pPr>
        <w:pStyle w:val="Footer"/>
        <w:ind w:right="360"/>
        <w:rPr>
          <w:snapToGrid w:val="0"/>
          <w:sz w:val="24"/>
          <w:szCs w:val="24"/>
        </w:rPr>
      </w:pPr>
      <w:r w:rsidRPr="00C62FC1">
        <w:rPr>
          <w:snapToGrid w:val="0"/>
          <w:sz w:val="24"/>
          <w:szCs w:val="24"/>
        </w:rPr>
        <w:t>Fax:</w:t>
      </w:r>
      <w:r>
        <w:rPr>
          <w:snapToGrid w:val="0"/>
          <w:sz w:val="24"/>
          <w:szCs w:val="24"/>
        </w:rPr>
        <w:t xml:space="preserve"> +263 4 338773</w:t>
      </w:r>
    </w:p>
    <w:p w:rsidR="00C62FC1" w:rsidRPr="00C62FC1" w:rsidRDefault="00E82386" w:rsidP="00C62FC1">
      <w:pPr>
        <w:pStyle w:val="Footer"/>
        <w:ind w:right="360"/>
        <w:rPr>
          <w:sz w:val="24"/>
          <w:szCs w:val="24"/>
        </w:rPr>
      </w:pPr>
      <w:r w:rsidRPr="00C62FC1">
        <w:rPr>
          <w:bCs/>
          <w:sz w:val="24"/>
          <w:szCs w:val="24"/>
        </w:rPr>
        <w:t xml:space="preserve">E-mail: </w:t>
      </w:r>
      <w:hyperlink r:id="rId41" w:history="1">
        <w:r w:rsidR="00C62FC1" w:rsidRPr="00C62FC1">
          <w:rPr>
            <w:rStyle w:val="Hyperlink"/>
            <w:snapToGrid w:val="0"/>
            <w:sz w:val="24"/>
            <w:szCs w:val="24"/>
          </w:rPr>
          <w:t>mailzwe@unfpa.org</w:t>
        </w:r>
      </w:hyperlink>
      <w:r w:rsidR="00C62FC1" w:rsidRPr="00C62FC1">
        <w:rPr>
          <w:snapToGrid w:val="0"/>
          <w:sz w:val="24"/>
          <w:szCs w:val="24"/>
        </w:rPr>
        <w:t xml:space="preserve"> </w:t>
      </w:r>
    </w:p>
    <w:p w:rsidR="00E82386" w:rsidRDefault="00E82386" w:rsidP="00E82386">
      <w:pPr>
        <w:spacing w:after="0" w:line="240" w:lineRule="auto"/>
        <w:rPr>
          <w:rStyle w:val="Hyperlink"/>
          <w:bCs/>
          <w:color w:val="auto"/>
          <w:sz w:val="24"/>
          <w:szCs w:val="24"/>
        </w:rPr>
      </w:pPr>
    </w:p>
    <w:p w:rsidR="00C62FC1" w:rsidRDefault="00C62FC1" w:rsidP="00E82386">
      <w:pPr>
        <w:spacing w:after="0" w:line="240" w:lineRule="auto"/>
        <w:rPr>
          <w:rStyle w:val="Hyperlink"/>
          <w:bCs/>
          <w:color w:val="auto"/>
          <w:sz w:val="24"/>
          <w:szCs w:val="24"/>
        </w:rPr>
      </w:pPr>
    </w:p>
    <w:p w:rsidR="00C62FC1" w:rsidRDefault="00C62FC1" w:rsidP="00D02FDD">
      <w:pPr>
        <w:spacing w:after="0" w:line="240" w:lineRule="auto"/>
        <w:jc w:val="both"/>
        <w:rPr>
          <w:rStyle w:val="Hyperlink"/>
          <w:bCs/>
          <w:color w:val="auto"/>
          <w:sz w:val="24"/>
          <w:szCs w:val="24"/>
        </w:rPr>
      </w:pPr>
      <w:r>
        <w:rPr>
          <w:rFonts w:asciiTheme="majorHAnsi" w:hAnsiTheme="majorHAnsi"/>
          <w:sz w:val="24"/>
          <w:szCs w:val="24"/>
        </w:rPr>
        <w:t>This fact sheet is based on the results of the 2012 Zimbabwe Population Census Thematic Analysis which was conducted by the Zimbabwe National Statistics Agency (</w:t>
      </w:r>
      <w:proofErr w:type="spellStart"/>
      <w:r>
        <w:rPr>
          <w:rFonts w:asciiTheme="majorHAnsi" w:hAnsiTheme="majorHAnsi"/>
          <w:sz w:val="24"/>
          <w:szCs w:val="24"/>
        </w:rPr>
        <w:t>Zimstat</w:t>
      </w:r>
      <w:proofErr w:type="spellEnd"/>
      <w:r>
        <w:rPr>
          <w:rFonts w:asciiTheme="majorHAnsi" w:hAnsiTheme="majorHAnsi"/>
          <w:sz w:val="24"/>
          <w:szCs w:val="24"/>
        </w:rPr>
        <w:t xml:space="preserve">) with technical </w:t>
      </w:r>
      <w:r w:rsidR="00D02FDD">
        <w:rPr>
          <w:rFonts w:asciiTheme="majorHAnsi" w:hAnsiTheme="majorHAnsi"/>
          <w:sz w:val="24"/>
          <w:szCs w:val="24"/>
        </w:rPr>
        <w:t xml:space="preserve">assistance from the United Nations Population Fund (UNFPA). Funding for the analysis was provided by the Government of Zimbabwe through Treasury, Australian Agency for International Development, Royal Danish Embassy, United Kingdom Department for International Development, European Union, Swedish International Development Agency, United Nations Development Programme, </w:t>
      </w:r>
      <w:proofErr w:type="gramStart"/>
      <w:r w:rsidR="00D02FDD">
        <w:rPr>
          <w:rFonts w:asciiTheme="majorHAnsi" w:hAnsiTheme="majorHAnsi"/>
          <w:sz w:val="24"/>
          <w:szCs w:val="24"/>
        </w:rPr>
        <w:t>United</w:t>
      </w:r>
      <w:proofErr w:type="gramEnd"/>
      <w:r w:rsidR="00D02FDD">
        <w:rPr>
          <w:rFonts w:asciiTheme="majorHAnsi" w:hAnsiTheme="majorHAnsi"/>
          <w:sz w:val="24"/>
          <w:szCs w:val="24"/>
        </w:rPr>
        <w:t xml:space="preserve"> Nations Children’s Fund and the United Nations Population Fund.</w:t>
      </w:r>
    </w:p>
    <w:p w:rsidR="00C62FC1" w:rsidRDefault="00C62FC1" w:rsidP="00E82386">
      <w:pPr>
        <w:spacing w:after="0" w:line="240" w:lineRule="auto"/>
        <w:rPr>
          <w:rStyle w:val="Hyperlink"/>
          <w:bCs/>
          <w:color w:val="auto"/>
          <w:sz w:val="24"/>
          <w:szCs w:val="24"/>
        </w:rPr>
      </w:pPr>
    </w:p>
    <w:p w:rsidR="00C62FC1" w:rsidRDefault="00C62FC1" w:rsidP="00E82386">
      <w:pPr>
        <w:spacing w:after="0" w:line="240" w:lineRule="auto"/>
        <w:rPr>
          <w:rStyle w:val="Hyperlink"/>
          <w:bCs/>
          <w:color w:val="auto"/>
          <w:sz w:val="24"/>
          <w:szCs w:val="24"/>
        </w:rPr>
      </w:pPr>
    </w:p>
    <w:p w:rsidR="00C62FC1" w:rsidRDefault="00C62FC1" w:rsidP="00E82386">
      <w:pPr>
        <w:spacing w:after="0" w:line="240" w:lineRule="auto"/>
        <w:rPr>
          <w:rStyle w:val="Hyperlink"/>
          <w:bCs/>
          <w:color w:val="auto"/>
          <w:sz w:val="24"/>
          <w:szCs w:val="24"/>
        </w:rPr>
      </w:pPr>
    </w:p>
    <w:p w:rsidR="00C62FC1" w:rsidRDefault="00C62FC1" w:rsidP="00E82386">
      <w:pPr>
        <w:spacing w:after="0" w:line="240" w:lineRule="auto"/>
        <w:rPr>
          <w:rStyle w:val="Hyperlink"/>
          <w:bCs/>
          <w:color w:val="auto"/>
          <w:sz w:val="24"/>
          <w:szCs w:val="24"/>
        </w:rPr>
      </w:pPr>
    </w:p>
    <w:p w:rsidR="00C62FC1" w:rsidRPr="00E82386" w:rsidRDefault="00C62FC1" w:rsidP="00E82386">
      <w:pPr>
        <w:spacing w:after="0" w:line="240" w:lineRule="auto"/>
        <w:rPr>
          <w:rStyle w:val="Hyperlink"/>
          <w:bCs/>
          <w:color w:val="auto"/>
          <w:sz w:val="24"/>
          <w:szCs w:val="24"/>
        </w:rPr>
      </w:pPr>
      <w:r w:rsidRPr="00C62FC1">
        <w:rPr>
          <w:rStyle w:val="Hyperlink"/>
          <w:bCs/>
          <w:noProof/>
          <w:color w:val="auto"/>
          <w:sz w:val="24"/>
          <w:szCs w:val="24"/>
          <w:lang w:eastAsia="en-ZW"/>
        </w:rPr>
        <w:drawing>
          <wp:anchor distT="0" distB="0" distL="114300" distR="114300" simplePos="0" relativeHeight="251695104" behindDoc="0" locked="0" layoutInCell="1" allowOverlap="1" wp14:anchorId="04CAC39F" wp14:editId="71BF64D4">
            <wp:simplePos x="0" y="0"/>
            <wp:positionH relativeFrom="column">
              <wp:posOffset>0</wp:posOffset>
            </wp:positionH>
            <wp:positionV relativeFrom="paragraph">
              <wp:posOffset>-635</wp:posOffset>
            </wp:positionV>
            <wp:extent cx="1524000" cy="895350"/>
            <wp:effectExtent l="19050" t="0" r="0" b="0"/>
            <wp:wrapNone/>
            <wp:docPr id="68" name="Picture 4" descr="C:\Users\user\Pictures\logo_unfp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logo_unfpa2.jpeg"/>
                    <pic:cNvPicPr>
                      <a:picLocks noChangeAspect="1" noChangeArrowheads="1"/>
                    </pic:cNvPicPr>
                  </pic:nvPicPr>
                  <pic:blipFill>
                    <a:blip r:embed="rId42" cstate="print"/>
                    <a:srcRect/>
                    <a:stretch>
                      <a:fillRect/>
                    </a:stretch>
                  </pic:blipFill>
                  <pic:spPr bwMode="auto">
                    <a:xfrm>
                      <a:off x="0" y="0"/>
                      <a:ext cx="1524000" cy="895350"/>
                    </a:xfrm>
                    <a:prstGeom prst="rect">
                      <a:avLst/>
                    </a:prstGeom>
                    <a:noFill/>
                    <a:ln w="9525">
                      <a:noFill/>
                      <a:miter lim="800000"/>
                      <a:headEnd/>
                      <a:tailEnd/>
                    </a:ln>
                  </pic:spPr>
                </pic:pic>
              </a:graphicData>
            </a:graphic>
          </wp:anchor>
        </w:drawing>
      </w:r>
      <w:r w:rsidRPr="00C62FC1">
        <w:rPr>
          <w:rStyle w:val="Hyperlink"/>
          <w:bCs/>
          <w:noProof/>
          <w:color w:val="auto"/>
          <w:sz w:val="24"/>
          <w:szCs w:val="24"/>
          <w:lang w:eastAsia="en-ZW"/>
        </w:rPr>
        <w:drawing>
          <wp:anchor distT="0" distB="0" distL="114300" distR="114300" simplePos="0" relativeHeight="251696128" behindDoc="0" locked="0" layoutInCell="1" allowOverlap="1" wp14:anchorId="565FFA4C" wp14:editId="3B120C61">
            <wp:simplePos x="0" y="0"/>
            <wp:positionH relativeFrom="column">
              <wp:posOffset>3505200</wp:posOffset>
            </wp:positionH>
            <wp:positionV relativeFrom="paragraph">
              <wp:posOffset>218440</wp:posOffset>
            </wp:positionV>
            <wp:extent cx="1143000" cy="847725"/>
            <wp:effectExtent l="19050" t="0" r="0" b="0"/>
            <wp:wrapNone/>
            <wp:docPr id="65" name="Picture 11" descr="C:\Users\user\Pictures\logo Danid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Pictures\logo Danida.jpeg"/>
                    <pic:cNvPicPr>
                      <a:picLocks noChangeAspect="1" noChangeArrowheads="1"/>
                    </pic:cNvPicPr>
                  </pic:nvPicPr>
                  <pic:blipFill>
                    <a:blip r:embed="rId43" cstate="print"/>
                    <a:srcRect/>
                    <a:stretch>
                      <a:fillRect/>
                    </a:stretch>
                  </pic:blipFill>
                  <pic:spPr bwMode="auto">
                    <a:xfrm>
                      <a:off x="0" y="0"/>
                      <a:ext cx="1143000" cy="847725"/>
                    </a:xfrm>
                    <a:prstGeom prst="rect">
                      <a:avLst/>
                    </a:prstGeom>
                    <a:noFill/>
                    <a:ln w="9525">
                      <a:noFill/>
                      <a:miter lim="800000"/>
                      <a:headEnd/>
                      <a:tailEnd/>
                    </a:ln>
                  </pic:spPr>
                </pic:pic>
              </a:graphicData>
            </a:graphic>
          </wp:anchor>
        </w:drawing>
      </w:r>
      <w:r w:rsidRPr="00C62FC1">
        <w:rPr>
          <w:rStyle w:val="Hyperlink"/>
          <w:bCs/>
          <w:noProof/>
          <w:color w:val="auto"/>
          <w:sz w:val="24"/>
          <w:szCs w:val="24"/>
          <w:lang w:eastAsia="en-ZW"/>
        </w:rPr>
        <w:drawing>
          <wp:anchor distT="0" distB="0" distL="114300" distR="114300" simplePos="0" relativeHeight="251697152" behindDoc="0" locked="0" layoutInCell="1" allowOverlap="1" wp14:anchorId="28F09FA7" wp14:editId="32298889">
            <wp:simplePos x="0" y="0"/>
            <wp:positionH relativeFrom="column">
              <wp:posOffset>1800225</wp:posOffset>
            </wp:positionH>
            <wp:positionV relativeFrom="paragraph">
              <wp:posOffset>104140</wp:posOffset>
            </wp:positionV>
            <wp:extent cx="1247775" cy="857250"/>
            <wp:effectExtent l="19050" t="0" r="9525" b="0"/>
            <wp:wrapNone/>
            <wp:docPr id="67" name="Picture 10" descr="C:\Users\user\Pictures\logo_UK DFI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Pictures\logo_UK DFID.jpeg"/>
                    <pic:cNvPicPr>
                      <a:picLocks noChangeAspect="1" noChangeArrowheads="1"/>
                    </pic:cNvPicPr>
                  </pic:nvPicPr>
                  <pic:blipFill>
                    <a:blip r:embed="rId44" cstate="print"/>
                    <a:srcRect/>
                    <a:stretch>
                      <a:fillRect/>
                    </a:stretch>
                  </pic:blipFill>
                  <pic:spPr bwMode="auto">
                    <a:xfrm>
                      <a:off x="0" y="0"/>
                      <a:ext cx="1247775" cy="857250"/>
                    </a:xfrm>
                    <a:prstGeom prst="rect">
                      <a:avLst/>
                    </a:prstGeom>
                    <a:noFill/>
                    <a:ln w="9525">
                      <a:noFill/>
                      <a:miter lim="800000"/>
                      <a:headEnd/>
                      <a:tailEnd/>
                    </a:ln>
                  </pic:spPr>
                </pic:pic>
              </a:graphicData>
            </a:graphic>
          </wp:anchor>
        </w:drawing>
      </w:r>
      <w:r w:rsidRPr="00C62FC1">
        <w:rPr>
          <w:rStyle w:val="Hyperlink"/>
          <w:bCs/>
          <w:noProof/>
          <w:color w:val="auto"/>
          <w:sz w:val="24"/>
          <w:szCs w:val="24"/>
          <w:lang w:eastAsia="en-ZW"/>
        </w:rPr>
        <w:drawing>
          <wp:anchor distT="0" distB="0" distL="114300" distR="114300" simplePos="0" relativeHeight="251698176" behindDoc="0" locked="0" layoutInCell="1" allowOverlap="1" wp14:anchorId="6B35FF4E" wp14:editId="11903439">
            <wp:simplePos x="0" y="0"/>
            <wp:positionH relativeFrom="column">
              <wp:posOffset>3276600</wp:posOffset>
            </wp:positionH>
            <wp:positionV relativeFrom="paragraph">
              <wp:posOffset>1647190</wp:posOffset>
            </wp:positionV>
            <wp:extent cx="1371600" cy="495300"/>
            <wp:effectExtent l="19050" t="0" r="0" b="0"/>
            <wp:wrapNone/>
            <wp:docPr id="12" name="Picture 9" descr="C:\Users\user\Pictures\logo _sid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Pictures\logo _sida.jpeg"/>
                    <pic:cNvPicPr>
                      <a:picLocks noChangeAspect="1" noChangeArrowheads="1"/>
                    </pic:cNvPicPr>
                  </pic:nvPicPr>
                  <pic:blipFill>
                    <a:blip r:embed="rId45" cstate="print"/>
                    <a:srcRect/>
                    <a:stretch>
                      <a:fillRect/>
                    </a:stretch>
                  </pic:blipFill>
                  <pic:spPr bwMode="auto">
                    <a:xfrm>
                      <a:off x="0" y="0"/>
                      <a:ext cx="1371600" cy="495300"/>
                    </a:xfrm>
                    <a:prstGeom prst="rect">
                      <a:avLst/>
                    </a:prstGeom>
                    <a:noFill/>
                    <a:ln w="9525">
                      <a:noFill/>
                      <a:miter lim="800000"/>
                      <a:headEnd/>
                      <a:tailEnd/>
                    </a:ln>
                  </pic:spPr>
                </pic:pic>
              </a:graphicData>
            </a:graphic>
          </wp:anchor>
        </w:drawing>
      </w:r>
      <w:r w:rsidRPr="00C62FC1">
        <w:rPr>
          <w:rStyle w:val="Hyperlink"/>
          <w:bCs/>
          <w:noProof/>
          <w:color w:val="auto"/>
          <w:sz w:val="24"/>
          <w:szCs w:val="24"/>
          <w:lang w:eastAsia="en-ZW"/>
        </w:rPr>
        <w:drawing>
          <wp:anchor distT="0" distB="0" distL="114300" distR="114300" simplePos="0" relativeHeight="251699200" behindDoc="0" locked="0" layoutInCell="1" allowOverlap="1" wp14:anchorId="24D2FFCD" wp14:editId="4DAC226E">
            <wp:simplePos x="0" y="0"/>
            <wp:positionH relativeFrom="column">
              <wp:posOffset>285750</wp:posOffset>
            </wp:positionH>
            <wp:positionV relativeFrom="paragraph">
              <wp:posOffset>942340</wp:posOffset>
            </wp:positionV>
            <wp:extent cx="895350" cy="1104900"/>
            <wp:effectExtent l="19050" t="0" r="0" b="0"/>
            <wp:wrapNone/>
            <wp:docPr id="66" name="Picture 7" descr="C:\Users\user\Pictures\logo UNICE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Pictures\logo UNICEF.jpeg"/>
                    <pic:cNvPicPr>
                      <a:picLocks noChangeAspect="1" noChangeArrowheads="1"/>
                    </pic:cNvPicPr>
                  </pic:nvPicPr>
                  <pic:blipFill>
                    <a:blip r:embed="rId46" cstate="print"/>
                    <a:srcRect/>
                    <a:stretch>
                      <a:fillRect/>
                    </a:stretch>
                  </pic:blipFill>
                  <pic:spPr bwMode="auto">
                    <a:xfrm>
                      <a:off x="0" y="0"/>
                      <a:ext cx="895350" cy="1104900"/>
                    </a:xfrm>
                    <a:prstGeom prst="rect">
                      <a:avLst/>
                    </a:prstGeom>
                    <a:noFill/>
                    <a:ln w="9525">
                      <a:noFill/>
                      <a:miter lim="800000"/>
                      <a:headEnd/>
                      <a:tailEnd/>
                    </a:ln>
                  </pic:spPr>
                </pic:pic>
              </a:graphicData>
            </a:graphic>
          </wp:anchor>
        </w:drawing>
      </w:r>
      <w:r w:rsidRPr="00C62FC1">
        <w:rPr>
          <w:rStyle w:val="Hyperlink"/>
          <w:bCs/>
          <w:noProof/>
          <w:color w:val="auto"/>
          <w:sz w:val="24"/>
          <w:szCs w:val="24"/>
          <w:lang w:eastAsia="en-ZW"/>
        </w:rPr>
        <w:drawing>
          <wp:anchor distT="0" distB="0" distL="114300" distR="114300" simplePos="0" relativeHeight="251700224" behindDoc="0" locked="0" layoutInCell="1" allowOverlap="1" wp14:anchorId="3EC63C3D" wp14:editId="5601D311">
            <wp:simplePos x="0" y="0"/>
            <wp:positionH relativeFrom="column">
              <wp:posOffset>1800225</wp:posOffset>
            </wp:positionH>
            <wp:positionV relativeFrom="paragraph">
              <wp:posOffset>1247140</wp:posOffset>
            </wp:positionV>
            <wp:extent cx="1247775" cy="847725"/>
            <wp:effectExtent l="19050" t="0" r="9525" b="0"/>
            <wp:wrapNone/>
            <wp:docPr id="50" name="Picture 6" descr="C:\Users\user\Pictures\logo_EU.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Pictures\logo_EU.jpeg"/>
                    <pic:cNvPicPr>
                      <a:picLocks noChangeAspect="1" noChangeArrowheads="1"/>
                    </pic:cNvPicPr>
                  </pic:nvPicPr>
                  <pic:blipFill>
                    <a:blip r:embed="rId47" cstate="print"/>
                    <a:srcRect/>
                    <a:stretch>
                      <a:fillRect/>
                    </a:stretch>
                  </pic:blipFill>
                  <pic:spPr bwMode="auto">
                    <a:xfrm>
                      <a:off x="0" y="0"/>
                      <a:ext cx="1247775" cy="847725"/>
                    </a:xfrm>
                    <a:prstGeom prst="rect">
                      <a:avLst/>
                    </a:prstGeom>
                    <a:noFill/>
                    <a:ln w="9525">
                      <a:noFill/>
                      <a:miter lim="800000"/>
                      <a:headEnd/>
                      <a:tailEnd/>
                    </a:ln>
                  </pic:spPr>
                </pic:pic>
              </a:graphicData>
            </a:graphic>
          </wp:anchor>
        </w:drawing>
      </w:r>
      <w:r w:rsidRPr="00C62FC1">
        <w:rPr>
          <w:rStyle w:val="Hyperlink"/>
          <w:bCs/>
          <w:noProof/>
          <w:color w:val="auto"/>
          <w:sz w:val="24"/>
          <w:szCs w:val="24"/>
          <w:lang w:eastAsia="en-ZW"/>
        </w:rPr>
        <w:drawing>
          <wp:anchor distT="0" distB="0" distL="114300" distR="114300" simplePos="0" relativeHeight="251701248" behindDoc="0" locked="0" layoutInCell="1" allowOverlap="1" wp14:anchorId="04A633A6" wp14:editId="77181622">
            <wp:simplePos x="0" y="0"/>
            <wp:positionH relativeFrom="column">
              <wp:posOffset>4867275</wp:posOffset>
            </wp:positionH>
            <wp:positionV relativeFrom="paragraph">
              <wp:posOffset>218440</wp:posOffset>
            </wp:positionV>
            <wp:extent cx="1158875" cy="523875"/>
            <wp:effectExtent l="19050" t="0" r="3175" b="0"/>
            <wp:wrapNone/>
            <wp:docPr id="64" name="Picture 5" descr="C:\Users\user\Pictures\logo_Auss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logo_Aussy.jpeg"/>
                    <pic:cNvPicPr>
                      <a:picLocks noChangeAspect="1" noChangeArrowheads="1"/>
                    </pic:cNvPicPr>
                  </pic:nvPicPr>
                  <pic:blipFill>
                    <a:blip r:embed="rId48" cstate="print"/>
                    <a:srcRect/>
                    <a:stretch>
                      <a:fillRect/>
                    </a:stretch>
                  </pic:blipFill>
                  <pic:spPr bwMode="auto">
                    <a:xfrm>
                      <a:off x="0" y="0"/>
                      <a:ext cx="1158875" cy="523875"/>
                    </a:xfrm>
                    <a:prstGeom prst="rect">
                      <a:avLst/>
                    </a:prstGeom>
                    <a:noFill/>
                    <a:ln w="9525">
                      <a:noFill/>
                      <a:miter lim="800000"/>
                      <a:headEnd/>
                      <a:tailEnd/>
                    </a:ln>
                  </pic:spPr>
                </pic:pic>
              </a:graphicData>
            </a:graphic>
          </wp:anchor>
        </w:drawing>
      </w:r>
      <w:r w:rsidRPr="00C62FC1">
        <w:rPr>
          <w:rStyle w:val="Hyperlink"/>
          <w:bCs/>
          <w:noProof/>
          <w:color w:val="auto"/>
          <w:sz w:val="24"/>
          <w:szCs w:val="24"/>
          <w:lang w:eastAsia="en-ZW"/>
        </w:rPr>
        <w:drawing>
          <wp:anchor distT="0" distB="0" distL="114300" distR="114300" simplePos="0" relativeHeight="251702272" behindDoc="0" locked="0" layoutInCell="1" allowOverlap="1" wp14:anchorId="51B196AF" wp14:editId="24EE9503">
            <wp:simplePos x="0" y="0"/>
            <wp:positionH relativeFrom="column">
              <wp:posOffset>5095875</wp:posOffset>
            </wp:positionH>
            <wp:positionV relativeFrom="paragraph">
              <wp:posOffset>913765</wp:posOffset>
            </wp:positionV>
            <wp:extent cx="609600" cy="1228725"/>
            <wp:effectExtent l="19050" t="0" r="0" b="0"/>
            <wp:wrapNone/>
            <wp:docPr id="51" name="Picture 8" descr="C:\Users\user\Pictures\UNDP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Pictures\UNDP logo.jpeg"/>
                    <pic:cNvPicPr>
                      <a:picLocks noChangeAspect="1" noChangeArrowheads="1"/>
                    </pic:cNvPicPr>
                  </pic:nvPicPr>
                  <pic:blipFill>
                    <a:blip r:embed="rId49" cstate="print"/>
                    <a:srcRect/>
                    <a:stretch>
                      <a:fillRect/>
                    </a:stretch>
                  </pic:blipFill>
                  <pic:spPr bwMode="auto">
                    <a:xfrm>
                      <a:off x="0" y="0"/>
                      <a:ext cx="609600" cy="1228725"/>
                    </a:xfrm>
                    <a:prstGeom prst="rect">
                      <a:avLst/>
                    </a:prstGeom>
                    <a:noFill/>
                    <a:ln w="9525">
                      <a:noFill/>
                      <a:miter lim="800000"/>
                      <a:headEnd/>
                      <a:tailEnd/>
                    </a:ln>
                  </pic:spPr>
                </pic:pic>
              </a:graphicData>
            </a:graphic>
          </wp:anchor>
        </w:drawing>
      </w:r>
    </w:p>
    <w:sectPr w:rsidR="00C62FC1" w:rsidRPr="00E82386">
      <w:footerReference w:type="default" r:id="rId5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9F9" w:rsidRDefault="00A609F9" w:rsidP="00511CD7">
      <w:pPr>
        <w:spacing w:after="0" w:line="240" w:lineRule="auto"/>
      </w:pPr>
      <w:r>
        <w:separator/>
      </w:r>
    </w:p>
  </w:endnote>
  <w:endnote w:type="continuationSeparator" w:id="0">
    <w:p w:rsidR="00A609F9" w:rsidRDefault="00A609F9" w:rsidP="00511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HelveticaNeue-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Unit-Light">
    <w:panose1 w:val="00000000000000000000"/>
    <w:charset w:val="00"/>
    <w:family w:val="swiss"/>
    <w:notTrueType/>
    <w:pitch w:val="default"/>
    <w:sig w:usb0="00000003" w:usb1="00000000" w:usb2="00000000" w:usb3="00000000" w:csb0="00000001" w:csb1="00000000"/>
  </w:font>
  <w:font w:name="Unit-Medium">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169710"/>
      <w:docPartObj>
        <w:docPartGallery w:val="Page Numbers (Bottom of Page)"/>
        <w:docPartUnique/>
      </w:docPartObj>
    </w:sdtPr>
    <w:sdtEndPr>
      <w:rPr>
        <w:color w:val="7F7F7F" w:themeColor="background1" w:themeShade="7F"/>
        <w:spacing w:val="60"/>
      </w:rPr>
    </w:sdtEndPr>
    <w:sdtContent>
      <w:p w:rsidR="00B74840" w:rsidRDefault="00B7484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B3910" w:rsidRPr="00CB3910">
          <w:rPr>
            <w:b/>
            <w:bCs/>
            <w:noProof/>
          </w:rPr>
          <w:t>1</w:t>
        </w:r>
        <w:r>
          <w:rPr>
            <w:b/>
            <w:bCs/>
            <w:noProof/>
          </w:rPr>
          <w:fldChar w:fldCharType="end"/>
        </w:r>
        <w:r>
          <w:rPr>
            <w:b/>
            <w:bCs/>
          </w:rPr>
          <w:t xml:space="preserve"> | </w:t>
        </w:r>
        <w:r>
          <w:rPr>
            <w:color w:val="7F7F7F" w:themeColor="background1" w:themeShade="7F"/>
            <w:spacing w:val="60"/>
          </w:rPr>
          <w:t>Page</w:t>
        </w:r>
      </w:p>
    </w:sdtContent>
  </w:sdt>
  <w:p w:rsidR="00B74840" w:rsidRDefault="00B748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9F9" w:rsidRDefault="00A609F9" w:rsidP="00511CD7">
      <w:pPr>
        <w:spacing w:after="0" w:line="240" w:lineRule="auto"/>
      </w:pPr>
      <w:r>
        <w:separator/>
      </w:r>
    </w:p>
  </w:footnote>
  <w:footnote w:type="continuationSeparator" w:id="0">
    <w:p w:rsidR="00A609F9" w:rsidRDefault="00A609F9" w:rsidP="00511C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CF6B70"/>
    <w:multiLevelType w:val="hybridMultilevel"/>
    <w:tmpl w:val="8D0227B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nsid w:val="7E514B38"/>
    <w:multiLevelType w:val="hybridMultilevel"/>
    <w:tmpl w:val="94121A84"/>
    <w:lvl w:ilvl="0" w:tplc="EE6079A0">
      <w:start w:val="1"/>
      <w:numFmt w:val="lowerRoman"/>
      <w:lvlText w:val="(%1)"/>
      <w:lvlJc w:val="left"/>
      <w:pPr>
        <w:ind w:left="732" w:hanging="720"/>
      </w:pPr>
      <w:rPr>
        <w:rFonts w:hint="default"/>
      </w:rPr>
    </w:lvl>
    <w:lvl w:ilvl="1" w:tplc="30090019" w:tentative="1">
      <w:start w:val="1"/>
      <w:numFmt w:val="lowerLetter"/>
      <w:lvlText w:val="%2."/>
      <w:lvlJc w:val="left"/>
      <w:pPr>
        <w:ind w:left="1092" w:hanging="360"/>
      </w:pPr>
    </w:lvl>
    <w:lvl w:ilvl="2" w:tplc="3009001B" w:tentative="1">
      <w:start w:val="1"/>
      <w:numFmt w:val="lowerRoman"/>
      <w:lvlText w:val="%3."/>
      <w:lvlJc w:val="right"/>
      <w:pPr>
        <w:ind w:left="1812" w:hanging="180"/>
      </w:pPr>
    </w:lvl>
    <w:lvl w:ilvl="3" w:tplc="3009000F" w:tentative="1">
      <w:start w:val="1"/>
      <w:numFmt w:val="decimal"/>
      <w:lvlText w:val="%4."/>
      <w:lvlJc w:val="left"/>
      <w:pPr>
        <w:ind w:left="2532" w:hanging="360"/>
      </w:pPr>
    </w:lvl>
    <w:lvl w:ilvl="4" w:tplc="30090019" w:tentative="1">
      <w:start w:val="1"/>
      <w:numFmt w:val="lowerLetter"/>
      <w:lvlText w:val="%5."/>
      <w:lvlJc w:val="left"/>
      <w:pPr>
        <w:ind w:left="3252" w:hanging="360"/>
      </w:pPr>
    </w:lvl>
    <w:lvl w:ilvl="5" w:tplc="3009001B" w:tentative="1">
      <w:start w:val="1"/>
      <w:numFmt w:val="lowerRoman"/>
      <w:lvlText w:val="%6."/>
      <w:lvlJc w:val="right"/>
      <w:pPr>
        <w:ind w:left="3972" w:hanging="180"/>
      </w:pPr>
    </w:lvl>
    <w:lvl w:ilvl="6" w:tplc="3009000F" w:tentative="1">
      <w:start w:val="1"/>
      <w:numFmt w:val="decimal"/>
      <w:lvlText w:val="%7."/>
      <w:lvlJc w:val="left"/>
      <w:pPr>
        <w:ind w:left="4692" w:hanging="360"/>
      </w:pPr>
    </w:lvl>
    <w:lvl w:ilvl="7" w:tplc="30090019" w:tentative="1">
      <w:start w:val="1"/>
      <w:numFmt w:val="lowerLetter"/>
      <w:lvlText w:val="%8."/>
      <w:lvlJc w:val="left"/>
      <w:pPr>
        <w:ind w:left="5412" w:hanging="360"/>
      </w:pPr>
    </w:lvl>
    <w:lvl w:ilvl="8" w:tplc="3009001B" w:tentative="1">
      <w:start w:val="1"/>
      <w:numFmt w:val="lowerRoman"/>
      <w:lvlText w:val="%9."/>
      <w:lvlJc w:val="right"/>
      <w:pPr>
        <w:ind w:left="613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85"/>
    <w:rsid w:val="000040E5"/>
    <w:rsid w:val="00006BDC"/>
    <w:rsid w:val="00010FC7"/>
    <w:rsid w:val="00013650"/>
    <w:rsid w:val="00025C69"/>
    <w:rsid w:val="00025EEC"/>
    <w:rsid w:val="000309CD"/>
    <w:rsid w:val="00031286"/>
    <w:rsid w:val="000315F5"/>
    <w:rsid w:val="00031B5D"/>
    <w:rsid w:val="000321CB"/>
    <w:rsid w:val="00040CC9"/>
    <w:rsid w:val="00042763"/>
    <w:rsid w:val="00046B5E"/>
    <w:rsid w:val="0005529A"/>
    <w:rsid w:val="00055B0F"/>
    <w:rsid w:val="000571FF"/>
    <w:rsid w:val="000647C6"/>
    <w:rsid w:val="00071F87"/>
    <w:rsid w:val="0007728F"/>
    <w:rsid w:val="000802E8"/>
    <w:rsid w:val="0009097A"/>
    <w:rsid w:val="00092A58"/>
    <w:rsid w:val="00095F7A"/>
    <w:rsid w:val="000A01BD"/>
    <w:rsid w:val="000A4A38"/>
    <w:rsid w:val="000B2551"/>
    <w:rsid w:val="000B606A"/>
    <w:rsid w:val="000B619D"/>
    <w:rsid w:val="000C00F9"/>
    <w:rsid w:val="000C27BD"/>
    <w:rsid w:val="000C4FB6"/>
    <w:rsid w:val="000D38E2"/>
    <w:rsid w:val="000D3964"/>
    <w:rsid w:val="000D4095"/>
    <w:rsid w:val="000D5F7E"/>
    <w:rsid w:val="000E189D"/>
    <w:rsid w:val="000E5A9A"/>
    <w:rsid w:val="000E7A04"/>
    <w:rsid w:val="000E7F0E"/>
    <w:rsid w:val="000F31EE"/>
    <w:rsid w:val="000F590E"/>
    <w:rsid w:val="000F6309"/>
    <w:rsid w:val="000F6BEE"/>
    <w:rsid w:val="0010326F"/>
    <w:rsid w:val="00122C04"/>
    <w:rsid w:val="0013365D"/>
    <w:rsid w:val="00134388"/>
    <w:rsid w:val="00136684"/>
    <w:rsid w:val="00136A1A"/>
    <w:rsid w:val="00141B84"/>
    <w:rsid w:val="0014408F"/>
    <w:rsid w:val="00144476"/>
    <w:rsid w:val="00154EF4"/>
    <w:rsid w:val="0016231D"/>
    <w:rsid w:val="0016441D"/>
    <w:rsid w:val="00165899"/>
    <w:rsid w:val="00167882"/>
    <w:rsid w:val="00172D0A"/>
    <w:rsid w:val="00174CB0"/>
    <w:rsid w:val="00182524"/>
    <w:rsid w:val="001842DA"/>
    <w:rsid w:val="00185A94"/>
    <w:rsid w:val="001862C6"/>
    <w:rsid w:val="00195D20"/>
    <w:rsid w:val="001B1D4B"/>
    <w:rsid w:val="001B253D"/>
    <w:rsid w:val="001C296C"/>
    <w:rsid w:val="001C7AD0"/>
    <w:rsid w:val="001D0FAC"/>
    <w:rsid w:val="001E1D33"/>
    <w:rsid w:val="001E6323"/>
    <w:rsid w:val="001E6936"/>
    <w:rsid w:val="001F1E92"/>
    <w:rsid w:val="001F5F46"/>
    <w:rsid w:val="00200FF4"/>
    <w:rsid w:val="00203F0F"/>
    <w:rsid w:val="00204CE1"/>
    <w:rsid w:val="0020746D"/>
    <w:rsid w:val="00211587"/>
    <w:rsid w:val="002133BC"/>
    <w:rsid w:val="00216AD2"/>
    <w:rsid w:val="002216EA"/>
    <w:rsid w:val="0022702B"/>
    <w:rsid w:val="00227163"/>
    <w:rsid w:val="00231EA3"/>
    <w:rsid w:val="00235916"/>
    <w:rsid w:val="00236EF4"/>
    <w:rsid w:val="00253E48"/>
    <w:rsid w:val="002553F7"/>
    <w:rsid w:val="0026246D"/>
    <w:rsid w:val="00267F51"/>
    <w:rsid w:val="00272ACA"/>
    <w:rsid w:val="00273DC5"/>
    <w:rsid w:val="00282819"/>
    <w:rsid w:val="00284235"/>
    <w:rsid w:val="002857D2"/>
    <w:rsid w:val="00292D93"/>
    <w:rsid w:val="00295AA6"/>
    <w:rsid w:val="00295DE9"/>
    <w:rsid w:val="002A4551"/>
    <w:rsid w:val="002A5B2D"/>
    <w:rsid w:val="002B2859"/>
    <w:rsid w:val="002B54B4"/>
    <w:rsid w:val="002C5E9F"/>
    <w:rsid w:val="002C7B32"/>
    <w:rsid w:val="002D0F16"/>
    <w:rsid w:val="002E4949"/>
    <w:rsid w:val="002E53C5"/>
    <w:rsid w:val="002F0A6A"/>
    <w:rsid w:val="002F0DFE"/>
    <w:rsid w:val="00305AE9"/>
    <w:rsid w:val="00307871"/>
    <w:rsid w:val="00310B73"/>
    <w:rsid w:val="00310B86"/>
    <w:rsid w:val="00311735"/>
    <w:rsid w:val="00323017"/>
    <w:rsid w:val="003261F2"/>
    <w:rsid w:val="003262C6"/>
    <w:rsid w:val="00335E75"/>
    <w:rsid w:val="003367DF"/>
    <w:rsid w:val="00344136"/>
    <w:rsid w:val="0034698E"/>
    <w:rsid w:val="00346A0D"/>
    <w:rsid w:val="003542E9"/>
    <w:rsid w:val="00357CE1"/>
    <w:rsid w:val="0036644E"/>
    <w:rsid w:val="00366AAF"/>
    <w:rsid w:val="00371207"/>
    <w:rsid w:val="0037236B"/>
    <w:rsid w:val="00373CF1"/>
    <w:rsid w:val="00375E34"/>
    <w:rsid w:val="00376C6D"/>
    <w:rsid w:val="00380425"/>
    <w:rsid w:val="00381BCD"/>
    <w:rsid w:val="003825AE"/>
    <w:rsid w:val="003847F6"/>
    <w:rsid w:val="003852C2"/>
    <w:rsid w:val="003902C0"/>
    <w:rsid w:val="00391D08"/>
    <w:rsid w:val="0039474B"/>
    <w:rsid w:val="003A051C"/>
    <w:rsid w:val="003B7790"/>
    <w:rsid w:val="003C1F0E"/>
    <w:rsid w:val="003C2A0A"/>
    <w:rsid w:val="003C6E0A"/>
    <w:rsid w:val="003C7343"/>
    <w:rsid w:val="003D0087"/>
    <w:rsid w:val="003E1CFD"/>
    <w:rsid w:val="003E2114"/>
    <w:rsid w:val="003E2F8B"/>
    <w:rsid w:val="003E35FC"/>
    <w:rsid w:val="003E4B1D"/>
    <w:rsid w:val="003E6D6D"/>
    <w:rsid w:val="004003BA"/>
    <w:rsid w:val="00400EF3"/>
    <w:rsid w:val="00411913"/>
    <w:rsid w:val="00412C4E"/>
    <w:rsid w:val="00414E8D"/>
    <w:rsid w:val="0041530D"/>
    <w:rsid w:val="004167FD"/>
    <w:rsid w:val="004227AB"/>
    <w:rsid w:val="00422C09"/>
    <w:rsid w:val="0044581F"/>
    <w:rsid w:val="004540D5"/>
    <w:rsid w:val="00456C0D"/>
    <w:rsid w:val="00460C92"/>
    <w:rsid w:val="00461EE8"/>
    <w:rsid w:val="0046353C"/>
    <w:rsid w:val="00471F25"/>
    <w:rsid w:val="00474529"/>
    <w:rsid w:val="00476BE0"/>
    <w:rsid w:val="00480F34"/>
    <w:rsid w:val="00483E5F"/>
    <w:rsid w:val="004864A9"/>
    <w:rsid w:val="0049153D"/>
    <w:rsid w:val="00493FE8"/>
    <w:rsid w:val="0049795E"/>
    <w:rsid w:val="004A53A0"/>
    <w:rsid w:val="004A5F38"/>
    <w:rsid w:val="004A7B5B"/>
    <w:rsid w:val="004B7539"/>
    <w:rsid w:val="004B794B"/>
    <w:rsid w:val="004C6131"/>
    <w:rsid w:val="004C6DBE"/>
    <w:rsid w:val="004D50F0"/>
    <w:rsid w:val="004D5C9A"/>
    <w:rsid w:val="004E17EB"/>
    <w:rsid w:val="004E2B76"/>
    <w:rsid w:val="004E2E28"/>
    <w:rsid w:val="004E34CC"/>
    <w:rsid w:val="004F1C0D"/>
    <w:rsid w:val="004F42E9"/>
    <w:rsid w:val="004F7BFC"/>
    <w:rsid w:val="00500F45"/>
    <w:rsid w:val="005046A7"/>
    <w:rsid w:val="00511CD7"/>
    <w:rsid w:val="005143B1"/>
    <w:rsid w:val="00515FD6"/>
    <w:rsid w:val="005214BA"/>
    <w:rsid w:val="00523384"/>
    <w:rsid w:val="005264A6"/>
    <w:rsid w:val="005336A8"/>
    <w:rsid w:val="00533A40"/>
    <w:rsid w:val="00537B11"/>
    <w:rsid w:val="00541B3B"/>
    <w:rsid w:val="00546978"/>
    <w:rsid w:val="005513D8"/>
    <w:rsid w:val="0055262E"/>
    <w:rsid w:val="0056128B"/>
    <w:rsid w:val="00566825"/>
    <w:rsid w:val="00567AB8"/>
    <w:rsid w:val="005716AF"/>
    <w:rsid w:val="0057248E"/>
    <w:rsid w:val="005725DF"/>
    <w:rsid w:val="00582010"/>
    <w:rsid w:val="00584791"/>
    <w:rsid w:val="00593E3D"/>
    <w:rsid w:val="00596991"/>
    <w:rsid w:val="00596E4B"/>
    <w:rsid w:val="005A1382"/>
    <w:rsid w:val="005A1E20"/>
    <w:rsid w:val="005A337B"/>
    <w:rsid w:val="005A47E5"/>
    <w:rsid w:val="005B0BC5"/>
    <w:rsid w:val="005C1DA8"/>
    <w:rsid w:val="005C21C7"/>
    <w:rsid w:val="005C7318"/>
    <w:rsid w:val="005C7894"/>
    <w:rsid w:val="005D0EBE"/>
    <w:rsid w:val="005E01DB"/>
    <w:rsid w:val="005E03AB"/>
    <w:rsid w:val="005E1E60"/>
    <w:rsid w:val="005E2486"/>
    <w:rsid w:val="005E7CD5"/>
    <w:rsid w:val="005E7FC9"/>
    <w:rsid w:val="005F18EA"/>
    <w:rsid w:val="00600113"/>
    <w:rsid w:val="0060318E"/>
    <w:rsid w:val="00606A55"/>
    <w:rsid w:val="00610F55"/>
    <w:rsid w:val="00623EB7"/>
    <w:rsid w:val="00626AFE"/>
    <w:rsid w:val="00636106"/>
    <w:rsid w:val="00636A6D"/>
    <w:rsid w:val="00650214"/>
    <w:rsid w:val="006502FE"/>
    <w:rsid w:val="00651325"/>
    <w:rsid w:val="00652AA0"/>
    <w:rsid w:val="00652E62"/>
    <w:rsid w:val="00653006"/>
    <w:rsid w:val="006548AF"/>
    <w:rsid w:val="00655150"/>
    <w:rsid w:val="00663076"/>
    <w:rsid w:val="00665015"/>
    <w:rsid w:val="00673BA7"/>
    <w:rsid w:val="00675734"/>
    <w:rsid w:val="006916E7"/>
    <w:rsid w:val="00696C18"/>
    <w:rsid w:val="00697AED"/>
    <w:rsid w:val="006A09CC"/>
    <w:rsid w:val="006A26EA"/>
    <w:rsid w:val="006B17C1"/>
    <w:rsid w:val="006B18D8"/>
    <w:rsid w:val="006B2DC3"/>
    <w:rsid w:val="006C0D92"/>
    <w:rsid w:val="006D3A85"/>
    <w:rsid w:val="006D6815"/>
    <w:rsid w:val="006D7A24"/>
    <w:rsid w:val="006E0F4C"/>
    <w:rsid w:val="006E3C02"/>
    <w:rsid w:val="006E5518"/>
    <w:rsid w:val="0070480F"/>
    <w:rsid w:val="00713379"/>
    <w:rsid w:val="00713B45"/>
    <w:rsid w:val="00715925"/>
    <w:rsid w:val="00716ADE"/>
    <w:rsid w:val="007266BB"/>
    <w:rsid w:val="00727AF8"/>
    <w:rsid w:val="00730DBE"/>
    <w:rsid w:val="00737A2C"/>
    <w:rsid w:val="007441F4"/>
    <w:rsid w:val="0075125A"/>
    <w:rsid w:val="00753A15"/>
    <w:rsid w:val="007567A1"/>
    <w:rsid w:val="00757A3C"/>
    <w:rsid w:val="00757FCD"/>
    <w:rsid w:val="007601A5"/>
    <w:rsid w:val="00760881"/>
    <w:rsid w:val="007621F5"/>
    <w:rsid w:val="00762737"/>
    <w:rsid w:val="00764574"/>
    <w:rsid w:val="00770F2B"/>
    <w:rsid w:val="00785917"/>
    <w:rsid w:val="00797ED4"/>
    <w:rsid w:val="007A5E75"/>
    <w:rsid w:val="007B47F2"/>
    <w:rsid w:val="007B4B3D"/>
    <w:rsid w:val="007C4767"/>
    <w:rsid w:val="007C5FC5"/>
    <w:rsid w:val="007D52E3"/>
    <w:rsid w:val="007E6A2B"/>
    <w:rsid w:val="007E6DFB"/>
    <w:rsid w:val="007F2041"/>
    <w:rsid w:val="007F72E8"/>
    <w:rsid w:val="007F7FAF"/>
    <w:rsid w:val="00800580"/>
    <w:rsid w:val="00800CC1"/>
    <w:rsid w:val="00804984"/>
    <w:rsid w:val="00805C52"/>
    <w:rsid w:val="0081229B"/>
    <w:rsid w:val="008153A6"/>
    <w:rsid w:val="00820752"/>
    <w:rsid w:val="0082141A"/>
    <w:rsid w:val="00831997"/>
    <w:rsid w:val="00831CF8"/>
    <w:rsid w:val="00835B6E"/>
    <w:rsid w:val="00841711"/>
    <w:rsid w:val="00843D03"/>
    <w:rsid w:val="0084647F"/>
    <w:rsid w:val="00857F5E"/>
    <w:rsid w:val="00866199"/>
    <w:rsid w:val="00877ADD"/>
    <w:rsid w:val="0088343C"/>
    <w:rsid w:val="008908AB"/>
    <w:rsid w:val="00891A67"/>
    <w:rsid w:val="00892A2E"/>
    <w:rsid w:val="00897FF9"/>
    <w:rsid w:val="008A01F5"/>
    <w:rsid w:val="008A7851"/>
    <w:rsid w:val="008B17AD"/>
    <w:rsid w:val="008B6E15"/>
    <w:rsid w:val="008C4253"/>
    <w:rsid w:val="008C546C"/>
    <w:rsid w:val="008C5CBA"/>
    <w:rsid w:val="008E3AA6"/>
    <w:rsid w:val="008E3CE7"/>
    <w:rsid w:val="008F3981"/>
    <w:rsid w:val="008F4641"/>
    <w:rsid w:val="008F72B0"/>
    <w:rsid w:val="009271EF"/>
    <w:rsid w:val="009345E5"/>
    <w:rsid w:val="0093501E"/>
    <w:rsid w:val="00935A16"/>
    <w:rsid w:val="00941BF1"/>
    <w:rsid w:val="00944C1A"/>
    <w:rsid w:val="009456A9"/>
    <w:rsid w:val="00951A2E"/>
    <w:rsid w:val="00953A2E"/>
    <w:rsid w:val="00957D22"/>
    <w:rsid w:val="00960B9F"/>
    <w:rsid w:val="00963D33"/>
    <w:rsid w:val="00967C84"/>
    <w:rsid w:val="00970718"/>
    <w:rsid w:val="0097603D"/>
    <w:rsid w:val="00976C17"/>
    <w:rsid w:val="00992254"/>
    <w:rsid w:val="00993399"/>
    <w:rsid w:val="009A078D"/>
    <w:rsid w:val="009A0F65"/>
    <w:rsid w:val="009A250C"/>
    <w:rsid w:val="009A42B3"/>
    <w:rsid w:val="009A46F2"/>
    <w:rsid w:val="009A6C6F"/>
    <w:rsid w:val="009A779C"/>
    <w:rsid w:val="009A7FCB"/>
    <w:rsid w:val="009B34DB"/>
    <w:rsid w:val="009B3C28"/>
    <w:rsid w:val="009C40E3"/>
    <w:rsid w:val="009C7273"/>
    <w:rsid w:val="009D0BDE"/>
    <w:rsid w:val="009D3B44"/>
    <w:rsid w:val="009D75FC"/>
    <w:rsid w:val="009E098D"/>
    <w:rsid w:val="009E0E10"/>
    <w:rsid w:val="009E170F"/>
    <w:rsid w:val="009E5D6F"/>
    <w:rsid w:val="009F49BC"/>
    <w:rsid w:val="009F5BED"/>
    <w:rsid w:val="00A03B9A"/>
    <w:rsid w:val="00A06F4A"/>
    <w:rsid w:val="00A116A9"/>
    <w:rsid w:val="00A172C6"/>
    <w:rsid w:val="00A20531"/>
    <w:rsid w:val="00A21E0B"/>
    <w:rsid w:val="00A22BE4"/>
    <w:rsid w:val="00A23892"/>
    <w:rsid w:val="00A27430"/>
    <w:rsid w:val="00A511E4"/>
    <w:rsid w:val="00A537C8"/>
    <w:rsid w:val="00A5513C"/>
    <w:rsid w:val="00A56B46"/>
    <w:rsid w:val="00A6014C"/>
    <w:rsid w:val="00A609F9"/>
    <w:rsid w:val="00A67D50"/>
    <w:rsid w:val="00A7211A"/>
    <w:rsid w:val="00A81A8D"/>
    <w:rsid w:val="00A83E8A"/>
    <w:rsid w:val="00A84180"/>
    <w:rsid w:val="00A84F6E"/>
    <w:rsid w:val="00A92CCD"/>
    <w:rsid w:val="00A94273"/>
    <w:rsid w:val="00AB2131"/>
    <w:rsid w:val="00AB26ED"/>
    <w:rsid w:val="00AB5AE5"/>
    <w:rsid w:val="00AC199B"/>
    <w:rsid w:val="00AD0C49"/>
    <w:rsid w:val="00AD154A"/>
    <w:rsid w:val="00AD706A"/>
    <w:rsid w:val="00AE52B1"/>
    <w:rsid w:val="00AF1518"/>
    <w:rsid w:val="00AF5523"/>
    <w:rsid w:val="00B01FCF"/>
    <w:rsid w:val="00B0457A"/>
    <w:rsid w:val="00B04CF6"/>
    <w:rsid w:val="00B05288"/>
    <w:rsid w:val="00B07976"/>
    <w:rsid w:val="00B137C0"/>
    <w:rsid w:val="00B36F3A"/>
    <w:rsid w:val="00B37EF4"/>
    <w:rsid w:val="00B40E26"/>
    <w:rsid w:val="00B4198C"/>
    <w:rsid w:val="00B42DB9"/>
    <w:rsid w:val="00B447CE"/>
    <w:rsid w:val="00B45E13"/>
    <w:rsid w:val="00B47B5A"/>
    <w:rsid w:val="00B52D2A"/>
    <w:rsid w:val="00B548FF"/>
    <w:rsid w:val="00B640E6"/>
    <w:rsid w:val="00B74840"/>
    <w:rsid w:val="00B8030B"/>
    <w:rsid w:val="00B8469A"/>
    <w:rsid w:val="00B854B3"/>
    <w:rsid w:val="00B90770"/>
    <w:rsid w:val="00B94F8C"/>
    <w:rsid w:val="00B96873"/>
    <w:rsid w:val="00BA359A"/>
    <w:rsid w:val="00BA3853"/>
    <w:rsid w:val="00BA4FE6"/>
    <w:rsid w:val="00BA5B22"/>
    <w:rsid w:val="00BC097F"/>
    <w:rsid w:val="00BC13C6"/>
    <w:rsid w:val="00BC253A"/>
    <w:rsid w:val="00BC7CE1"/>
    <w:rsid w:val="00BD3039"/>
    <w:rsid w:val="00BD4098"/>
    <w:rsid w:val="00BE03AB"/>
    <w:rsid w:val="00BE1026"/>
    <w:rsid w:val="00BE29E1"/>
    <w:rsid w:val="00C02AE9"/>
    <w:rsid w:val="00C05F73"/>
    <w:rsid w:val="00C17D9E"/>
    <w:rsid w:val="00C2297F"/>
    <w:rsid w:val="00C22B8B"/>
    <w:rsid w:val="00C23916"/>
    <w:rsid w:val="00C25519"/>
    <w:rsid w:val="00C27195"/>
    <w:rsid w:val="00C300C3"/>
    <w:rsid w:val="00C36B43"/>
    <w:rsid w:val="00C46824"/>
    <w:rsid w:val="00C47978"/>
    <w:rsid w:val="00C52129"/>
    <w:rsid w:val="00C56942"/>
    <w:rsid w:val="00C600E9"/>
    <w:rsid w:val="00C60948"/>
    <w:rsid w:val="00C62FC1"/>
    <w:rsid w:val="00C66860"/>
    <w:rsid w:val="00C70D85"/>
    <w:rsid w:val="00C851A6"/>
    <w:rsid w:val="00C97112"/>
    <w:rsid w:val="00CA1CBC"/>
    <w:rsid w:val="00CA5DDB"/>
    <w:rsid w:val="00CA6895"/>
    <w:rsid w:val="00CB0BD8"/>
    <w:rsid w:val="00CB2474"/>
    <w:rsid w:val="00CB3910"/>
    <w:rsid w:val="00CB42F8"/>
    <w:rsid w:val="00CB5FBE"/>
    <w:rsid w:val="00CB753A"/>
    <w:rsid w:val="00CD1834"/>
    <w:rsid w:val="00CD350A"/>
    <w:rsid w:val="00CD3DCB"/>
    <w:rsid w:val="00CD50DA"/>
    <w:rsid w:val="00CD62F9"/>
    <w:rsid w:val="00CD766F"/>
    <w:rsid w:val="00CE082E"/>
    <w:rsid w:val="00CE5666"/>
    <w:rsid w:val="00CF00E3"/>
    <w:rsid w:val="00D0273B"/>
    <w:rsid w:val="00D02FDD"/>
    <w:rsid w:val="00D03695"/>
    <w:rsid w:val="00D0447E"/>
    <w:rsid w:val="00D07DDD"/>
    <w:rsid w:val="00D225D0"/>
    <w:rsid w:val="00D228B8"/>
    <w:rsid w:val="00D2571A"/>
    <w:rsid w:val="00D26FE5"/>
    <w:rsid w:val="00D27938"/>
    <w:rsid w:val="00D40FB2"/>
    <w:rsid w:val="00D449AA"/>
    <w:rsid w:val="00D52C15"/>
    <w:rsid w:val="00D53ACE"/>
    <w:rsid w:val="00D60EB9"/>
    <w:rsid w:val="00D73496"/>
    <w:rsid w:val="00D73C18"/>
    <w:rsid w:val="00D81F7C"/>
    <w:rsid w:val="00D95CC9"/>
    <w:rsid w:val="00DA1B75"/>
    <w:rsid w:val="00DA6CCB"/>
    <w:rsid w:val="00DB311A"/>
    <w:rsid w:val="00DC4A96"/>
    <w:rsid w:val="00DC646B"/>
    <w:rsid w:val="00DC6BCC"/>
    <w:rsid w:val="00DD1853"/>
    <w:rsid w:val="00DD5B92"/>
    <w:rsid w:val="00DE6319"/>
    <w:rsid w:val="00DF16F1"/>
    <w:rsid w:val="00DF78F9"/>
    <w:rsid w:val="00E0383E"/>
    <w:rsid w:val="00E11A14"/>
    <w:rsid w:val="00E21870"/>
    <w:rsid w:val="00E22D0C"/>
    <w:rsid w:val="00E25F2C"/>
    <w:rsid w:val="00E26E85"/>
    <w:rsid w:val="00E3049C"/>
    <w:rsid w:val="00E432AF"/>
    <w:rsid w:val="00E434D9"/>
    <w:rsid w:val="00E455D8"/>
    <w:rsid w:val="00E459AD"/>
    <w:rsid w:val="00E46D97"/>
    <w:rsid w:val="00E54E72"/>
    <w:rsid w:val="00E574C7"/>
    <w:rsid w:val="00E6030B"/>
    <w:rsid w:val="00E60DCF"/>
    <w:rsid w:val="00E6303E"/>
    <w:rsid w:val="00E65235"/>
    <w:rsid w:val="00E7131C"/>
    <w:rsid w:val="00E71DFF"/>
    <w:rsid w:val="00E7217D"/>
    <w:rsid w:val="00E82386"/>
    <w:rsid w:val="00E827D5"/>
    <w:rsid w:val="00E83A28"/>
    <w:rsid w:val="00E90BC7"/>
    <w:rsid w:val="00E91CA5"/>
    <w:rsid w:val="00E97A29"/>
    <w:rsid w:val="00EA3602"/>
    <w:rsid w:val="00EA5849"/>
    <w:rsid w:val="00EA65E9"/>
    <w:rsid w:val="00EB1228"/>
    <w:rsid w:val="00EB18BF"/>
    <w:rsid w:val="00EB2730"/>
    <w:rsid w:val="00EB7BA0"/>
    <w:rsid w:val="00EC514C"/>
    <w:rsid w:val="00ED3E8D"/>
    <w:rsid w:val="00EE7AD0"/>
    <w:rsid w:val="00F00E0C"/>
    <w:rsid w:val="00F0392B"/>
    <w:rsid w:val="00F21197"/>
    <w:rsid w:val="00F42010"/>
    <w:rsid w:val="00F5128C"/>
    <w:rsid w:val="00F53CFB"/>
    <w:rsid w:val="00F60C45"/>
    <w:rsid w:val="00F6250C"/>
    <w:rsid w:val="00F65097"/>
    <w:rsid w:val="00F70923"/>
    <w:rsid w:val="00F72057"/>
    <w:rsid w:val="00F735BC"/>
    <w:rsid w:val="00F8042C"/>
    <w:rsid w:val="00F83697"/>
    <w:rsid w:val="00F83C0E"/>
    <w:rsid w:val="00F96F3C"/>
    <w:rsid w:val="00F979BD"/>
    <w:rsid w:val="00FA0853"/>
    <w:rsid w:val="00FA11BA"/>
    <w:rsid w:val="00FA6F88"/>
    <w:rsid w:val="00FA7230"/>
    <w:rsid w:val="00FB5C96"/>
    <w:rsid w:val="00FB73B2"/>
    <w:rsid w:val="00FC2D98"/>
    <w:rsid w:val="00FC5AFD"/>
    <w:rsid w:val="00FD0261"/>
    <w:rsid w:val="00FD1373"/>
    <w:rsid w:val="00FD44CE"/>
    <w:rsid w:val="00FD5552"/>
    <w:rsid w:val="00FE6A9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1ECB0-9A27-4CF6-AA58-1C6057D4A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1E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F1E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67D5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3A8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511C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1CD7"/>
    <w:rPr>
      <w:sz w:val="20"/>
      <w:szCs w:val="20"/>
    </w:rPr>
  </w:style>
  <w:style w:type="character" w:styleId="FootnoteReference">
    <w:name w:val="footnote reference"/>
    <w:basedOn w:val="DefaultParagraphFont"/>
    <w:uiPriority w:val="99"/>
    <w:unhideWhenUsed/>
    <w:rsid w:val="00511CD7"/>
    <w:rPr>
      <w:vertAlign w:val="superscript"/>
    </w:rPr>
  </w:style>
  <w:style w:type="paragraph" w:styleId="EndnoteText">
    <w:name w:val="endnote text"/>
    <w:basedOn w:val="Normal"/>
    <w:link w:val="EndnoteTextChar"/>
    <w:uiPriority w:val="99"/>
    <w:semiHidden/>
    <w:unhideWhenUsed/>
    <w:rsid w:val="00804984"/>
    <w:pPr>
      <w:spacing w:after="200" w:line="240" w:lineRule="auto"/>
    </w:pPr>
    <w:rPr>
      <w:rFonts w:ascii="Cambria" w:eastAsia="Cambria" w:hAnsi="Cambria" w:cs="Times New Roman"/>
      <w:sz w:val="20"/>
      <w:szCs w:val="20"/>
      <w:lang w:val="en-US"/>
    </w:rPr>
  </w:style>
  <w:style w:type="character" w:customStyle="1" w:styleId="EndnoteTextChar">
    <w:name w:val="Endnote Text Char"/>
    <w:basedOn w:val="DefaultParagraphFont"/>
    <w:link w:val="EndnoteText"/>
    <w:uiPriority w:val="99"/>
    <w:semiHidden/>
    <w:rsid w:val="00804984"/>
    <w:rPr>
      <w:rFonts w:ascii="Cambria" w:eastAsia="Cambria" w:hAnsi="Cambria" w:cs="Times New Roman"/>
      <w:sz w:val="20"/>
      <w:szCs w:val="20"/>
      <w:lang w:val="en-US"/>
    </w:rPr>
  </w:style>
  <w:style w:type="character" w:styleId="EndnoteReference">
    <w:name w:val="endnote reference"/>
    <w:uiPriority w:val="99"/>
    <w:semiHidden/>
    <w:unhideWhenUsed/>
    <w:rsid w:val="00804984"/>
    <w:rPr>
      <w:vertAlign w:val="superscript"/>
    </w:rPr>
  </w:style>
  <w:style w:type="paragraph" w:styleId="ListParagraph">
    <w:name w:val="List Paragraph"/>
    <w:basedOn w:val="Normal"/>
    <w:uiPriority w:val="34"/>
    <w:qFormat/>
    <w:rsid w:val="005C7318"/>
    <w:pPr>
      <w:ind w:left="720"/>
      <w:contextualSpacing/>
    </w:pPr>
  </w:style>
  <w:style w:type="table" w:styleId="TableGridLight">
    <w:name w:val="Grid Table Light"/>
    <w:basedOn w:val="TableNormal"/>
    <w:uiPriority w:val="40"/>
    <w:rsid w:val="008153A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NormalWeb">
    <w:name w:val="Normal (Web)"/>
    <w:basedOn w:val="Normal"/>
    <w:uiPriority w:val="99"/>
    <w:unhideWhenUsed/>
    <w:rsid w:val="00C23916"/>
    <w:pPr>
      <w:spacing w:after="225" w:line="240" w:lineRule="auto"/>
    </w:pPr>
    <w:rPr>
      <w:rFonts w:ascii="Times New Roman" w:eastAsia="Times New Roman" w:hAnsi="Times New Roman" w:cs="Times New Roman"/>
      <w:sz w:val="24"/>
      <w:szCs w:val="24"/>
      <w:lang w:eastAsia="en-ZW"/>
    </w:rPr>
  </w:style>
  <w:style w:type="character" w:customStyle="1" w:styleId="tgc">
    <w:name w:val="_tgc"/>
    <w:basedOn w:val="DefaultParagraphFont"/>
    <w:rsid w:val="00E3049C"/>
  </w:style>
  <w:style w:type="character" w:customStyle="1" w:styleId="Heading1Char">
    <w:name w:val="Heading 1 Char"/>
    <w:basedOn w:val="DefaultParagraphFont"/>
    <w:link w:val="Heading1"/>
    <w:uiPriority w:val="9"/>
    <w:rsid w:val="001F1E9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F1E92"/>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B74840"/>
    <w:pPr>
      <w:outlineLvl w:val="9"/>
    </w:pPr>
    <w:rPr>
      <w:lang w:val="en-US"/>
    </w:rPr>
  </w:style>
  <w:style w:type="paragraph" w:styleId="TOC1">
    <w:name w:val="toc 1"/>
    <w:basedOn w:val="Normal"/>
    <w:next w:val="Normal"/>
    <w:autoRedefine/>
    <w:uiPriority w:val="39"/>
    <w:unhideWhenUsed/>
    <w:rsid w:val="00B74840"/>
    <w:pPr>
      <w:spacing w:after="100"/>
    </w:pPr>
  </w:style>
  <w:style w:type="paragraph" w:styleId="TOC2">
    <w:name w:val="toc 2"/>
    <w:basedOn w:val="Normal"/>
    <w:next w:val="Normal"/>
    <w:autoRedefine/>
    <w:uiPriority w:val="39"/>
    <w:unhideWhenUsed/>
    <w:rsid w:val="00B74840"/>
    <w:pPr>
      <w:spacing w:after="100"/>
      <w:ind w:left="220"/>
    </w:pPr>
  </w:style>
  <w:style w:type="character" w:styleId="Hyperlink">
    <w:name w:val="Hyperlink"/>
    <w:basedOn w:val="DefaultParagraphFont"/>
    <w:uiPriority w:val="99"/>
    <w:unhideWhenUsed/>
    <w:rsid w:val="00B74840"/>
    <w:rPr>
      <w:color w:val="0563C1" w:themeColor="hyperlink"/>
      <w:u w:val="single"/>
    </w:rPr>
  </w:style>
  <w:style w:type="paragraph" w:styleId="Header">
    <w:name w:val="header"/>
    <w:basedOn w:val="Normal"/>
    <w:link w:val="HeaderChar"/>
    <w:uiPriority w:val="99"/>
    <w:unhideWhenUsed/>
    <w:rsid w:val="00B748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840"/>
  </w:style>
  <w:style w:type="paragraph" w:styleId="Footer">
    <w:name w:val="footer"/>
    <w:basedOn w:val="Normal"/>
    <w:link w:val="FooterChar"/>
    <w:unhideWhenUsed/>
    <w:rsid w:val="00B74840"/>
    <w:pPr>
      <w:tabs>
        <w:tab w:val="center" w:pos="4513"/>
        <w:tab w:val="right" w:pos="9026"/>
      </w:tabs>
      <w:spacing w:after="0" w:line="240" w:lineRule="auto"/>
    </w:pPr>
  </w:style>
  <w:style w:type="character" w:customStyle="1" w:styleId="FooterChar">
    <w:name w:val="Footer Char"/>
    <w:basedOn w:val="DefaultParagraphFont"/>
    <w:link w:val="Footer"/>
    <w:rsid w:val="00B74840"/>
  </w:style>
  <w:style w:type="paragraph" w:styleId="BalloonText">
    <w:name w:val="Balloon Text"/>
    <w:basedOn w:val="Normal"/>
    <w:link w:val="BalloonTextChar"/>
    <w:uiPriority w:val="99"/>
    <w:semiHidden/>
    <w:unhideWhenUsed/>
    <w:rsid w:val="00E432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2AF"/>
    <w:rPr>
      <w:rFonts w:ascii="Segoe UI" w:hAnsi="Segoe UI" w:cs="Segoe UI"/>
      <w:sz w:val="18"/>
      <w:szCs w:val="18"/>
    </w:rPr>
  </w:style>
  <w:style w:type="character" w:customStyle="1" w:styleId="Heading3Char">
    <w:name w:val="Heading 3 Char"/>
    <w:basedOn w:val="DefaultParagraphFont"/>
    <w:link w:val="Heading3"/>
    <w:uiPriority w:val="9"/>
    <w:semiHidden/>
    <w:rsid w:val="00A67D50"/>
    <w:rPr>
      <w:rFonts w:asciiTheme="majorHAnsi" w:eastAsiaTheme="majorEastAsia" w:hAnsiTheme="majorHAnsi" w:cstheme="majorBidi"/>
      <w:color w:val="1F4D78" w:themeColor="accent1" w:themeShade="7F"/>
      <w:sz w:val="24"/>
      <w:szCs w:val="24"/>
    </w:rPr>
  </w:style>
  <w:style w:type="paragraph" w:customStyle="1" w:styleId="footnotedescription">
    <w:name w:val="footnote description"/>
    <w:next w:val="Normal"/>
    <w:link w:val="footnotedescriptionChar"/>
    <w:hidden/>
    <w:rsid w:val="00A67D50"/>
    <w:pPr>
      <w:spacing w:after="0"/>
      <w:ind w:left="27"/>
    </w:pPr>
    <w:rPr>
      <w:rFonts w:ascii="Tahoma" w:eastAsia="Tahoma" w:hAnsi="Tahoma" w:cs="Tahoma"/>
      <w:color w:val="000000"/>
      <w:sz w:val="20"/>
      <w:lang w:eastAsia="en-ZW"/>
    </w:rPr>
  </w:style>
  <w:style w:type="character" w:customStyle="1" w:styleId="footnotedescriptionChar">
    <w:name w:val="footnote description Char"/>
    <w:link w:val="footnotedescription"/>
    <w:rsid w:val="00A67D50"/>
    <w:rPr>
      <w:rFonts w:ascii="Tahoma" w:eastAsia="Tahoma" w:hAnsi="Tahoma" w:cs="Tahoma"/>
      <w:color w:val="000000"/>
      <w:sz w:val="20"/>
      <w:lang w:eastAsia="en-ZW"/>
    </w:rPr>
  </w:style>
  <w:style w:type="character" w:customStyle="1" w:styleId="footnotemark">
    <w:name w:val="footnote mark"/>
    <w:hidden/>
    <w:rsid w:val="00A67D50"/>
    <w:rPr>
      <w:rFonts w:ascii="Tahoma" w:eastAsia="Tahoma" w:hAnsi="Tahoma" w:cs="Tahoma"/>
      <w:color w:val="000000"/>
      <w:sz w:val="20"/>
      <w:vertAlign w:val="superscript"/>
    </w:rPr>
  </w:style>
  <w:style w:type="table" w:styleId="TableGrid">
    <w:name w:val="Table Grid"/>
    <w:basedOn w:val="TableNormal"/>
    <w:uiPriority w:val="39"/>
    <w:rsid w:val="00A942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DD185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D185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1437">
      <w:bodyDiv w:val="1"/>
      <w:marLeft w:val="0"/>
      <w:marRight w:val="0"/>
      <w:marTop w:val="0"/>
      <w:marBottom w:val="0"/>
      <w:divBdr>
        <w:top w:val="none" w:sz="0" w:space="0" w:color="auto"/>
        <w:left w:val="none" w:sz="0" w:space="0" w:color="auto"/>
        <w:bottom w:val="none" w:sz="0" w:space="0" w:color="auto"/>
        <w:right w:val="none" w:sz="0" w:space="0" w:color="auto"/>
      </w:divBdr>
    </w:div>
    <w:div w:id="91095433">
      <w:bodyDiv w:val="1"/>
      <w:marLeft w:val="0"/>
      <w:marRight w:val="0"/>
      <w:marTop w:val="0"/>
      <w:marBottom w:val="0"/>
      <w:divBdr>
        <w:top w:val="none" w:sz="0" w:space="0" w:color="auto"/>
        <w:left w:val="none" w:sz="0" w:space="0" w:color="auto"/>
        <w:bottom w:val="none" w:sz="0" w:space="0" w:color="auto"/>
        <w:right w:val="none" w:sz="0" w:space="0" w:color="auto"/>
      </w:divBdr>
    </w:div>
    <w:div w:id="111481569">
      <w:bodyDiv w:val="1"/>
      <w:marLeft w:val="0"/>
      <w:marRight w:val="0"/>
      <w:marTop w:val="0"/>
      <w:marBottom w:val="0"/>
      <w:divBdr>
        <w:top w:val="none" w:sz="0" w:space="0" w:color="auto"/>
        <w:left w:val="none" w:sz="0" w:space="0" w:color="auto"/>
        <w:bottom w:val="none" w:sz="0" w:space="0" w:color="auto"/>
        <w:right w:val="none" w:sz="0" w:space="0" w:color="auto"/>
      </w:divBdr>
    </w:div>
    <w:div w:id="175967036">
      <w:bodyDiv w:val="1"/>
      <w:marLeft w:val="0"/>
      <w:marRight w:val="0"/>
      <w:marTop w:val="0"/>
      <w:marBottom w:val="0"/>
      <w:divBdr>
        <w:top w:val="none" w:sz="0" w:space="0" w:color="auto"/>
        <w:left w:val="none" w:sz="0" w:space="0" w:color="auto"/>
        <w:bottom w:val="none" w:sz="0" w:space="0" w:color="auto"/>
        <w:right w:val="none" w:sz="0" w:space="0" w:color="auto"/>
      </w:divBdr>
    </w:div>
    <w:div w:id="244153069">
      <w:bodyDiv w:val="1"/>
      <w:marLeft w:val="0"/>
      <w:marRight w:val="0"/>
      <w:marTop w:val="0"/>
      <w:marBottom w:val="0"/>
      <w:divBdr>
        <w:top w:val="none" w:sz="0" w:space="0" w:color="auto"/>
        <w:left w:val="none" w:sz="0" w:space="0" w:color="auto"/>
        <w:bottom w:val="none" w:sz="0" w:space="0" w:color="auto"/>
        <w:right w:val="none" w:sz="0" w:space="0" w:color="auto"/>
      </w:divBdr>
    </w:div>
    <w:div w:id="353116367">
      <w:bodyDiv w:val="1"/>
      <w:marLeft w:val="0"/>
      <w:marRight w:val="0"/>
      <w:marTop w:val="0"/>
      <w:marBottom w:val="0"/>
      <w:divBdr>
        <w:top w:val="none" w:sz="0" w:space="0" w:color="auto"/>
        <w:left w:val="none" w:sz="0" w:space="0" w:color="auto"/>
        <w:bottom w:val="none" w:sz="0" w:space="0" w:color="auto"/>
        <w:right w:val="none" w:sz="0" w:space="0" w:color="auto"/>
      </w:divBdr>
    </w:div>
    <w:div w:id="572471991">
      <w:bodyDiv w:val="1"/>
      <w:marLeft w:val="0"/>
      <w:marRight w:val="0"/>
      <w:marTop w:val="0"/>
      <w:marBottom w:val="0"/>
      <w:divBdr>
        <w:top w:val="none" w:sz="0" w:space="0" w:color="auto"/>
        <w:left w:val="none" w:sz="0" w:space="0" w:color="auto"/>
        <w:bottom w:val="none" w:sz="0" w:space="0" w:color="auto"/>
        <w:right w:val="none" w:sz="0" w:space="0" w:color="auto"/>
      </w:divBdr>
    </w:div>
    <w:div w:id="885340119">
      <w:bodyDiv w:val="1"/>
      <w:marLeft w:val="0"/>
      <w:marRight w:val="0"/>
      <w:marTop w:val="0"/>
      <w:marBottom w:val="0"/>
      <w:divBdr>
        <w:top w:val="none" w:sz="0" w:space="0" w:color="auto"/>
        <w:left w:val="none" w:sz="0" w:space="0" w:color="auto"/>
        <w:bottom w:val="none" w:sz="0" w:space="0" w:color="auto"/>
        <w:right w:val="none" w:sz="0" w:space="0" w:color="auto"/>
      </w:divBdr>
    </w:div>
    <w:div w:id="1008554780">
      <w:bodyDiv w:val="1"/>
      <w:marLeft w:val="0"/>
      <w:marRight w:val="0"/>
      <w:marTop w:val="0"/>
      <w:marBottom w:val="0"/>
      <w:divBdr>
        <w:top w:val="none" w:sz="0" w:space="0" w:color="auto"/>
        <w:left w:val="none" w:sz="0" w:space="0" w:color="auto"/>
        <w:bottom w:val="none" w:sz="0" w:space="0" w:color="auto"/>
        <w:right w:val="none" w:sz="0" w:space="0" w:color="auto"/>
      </w:divBdr>
    </w:div>
    <w:div w:id="1061758892">
      <w:bodyDiv w:val="1"/>
      <w:marLeft w:val="0"/>
      <w:marRight w:val="0"/>
      <w:marTop w:val="0"/>
      <w:marBottom w:val="0"/>
      <w:divBdr>
        <w:top w:val="none" w:sz="0" w:space="0" w:color="auto"/>
        <w:left w:val="none" w:sz="0" w:space="0" w:color="auto"/>
        <w:bottom w:val="none" w:sz="0" w:space="0" w:color="auto"/>
        <w:right w:val="none" w:sz="0" w:space="0" w:color="auto"/>
      </w:divBdr>
    </w:div>
    <w:div w:id="1171724245">
      <w:bodyDiv w:val="1"/>
      <w:marLeft w:val="0"/>
      <w:marRight w:val="0"/>
      <w:marTop w:val="0"/>
      <w:marBottom w:val="0"/>
      <w:divBdr>
        <w:top w:val="none" w:sz="0" w:space="0" w:color="auto"/>
        <w:left w:val="none" w:sz="0" w:space="0" w:color="auto"/>
        <w:bottom w:val="none" w:sz="0" w:space="0" w:color="auto"/>
        <w:right w:val="none" w:sz="0" w:space="0" w:color="auto"/>
      </w:divBdr>
    </w:div>
    <w:div w:id="1288269508">
      <w:bodyDiv w:val="1"/>
      <w:marLeft w:val="0"/>
      <w:marRight w:val="0"/>
      <w:marTop w:val="0"/>
      <w:marBottom w:val="0"/>
      <w:divBdr>
        <w:top w:val="none" w:sz="0" w:space="0" w:color="auto"/>
        <w:left w:val="none" w:sz="0" w:space="0" w:color="auto"/>
        <w:bottom w:val="none" w:sz="0" w:space="0" w:color="auto"/>
        <w:right w:val="none" w:sz="0" w:space="0" w:color="auto"/>
      </w:divBdr>
    </w:div>
    <w:div w:id="1336301915">
      <w:bodyDiv w:val="1"/>
      <w:marLeft w:val="0"/>
      <w:marRight w:val="0"/>
      <w:marTop w:val="0"/>
      <w:marBottom w:val="0"/>
      <w:divBdr>
        <w:top w:val="none" w:sz="0" w:space="0" w:color="auto"/>
        <w:left w:val="none" w:sz="0" w:space="0" w:color="auto"/>
        <w:bottom w:val="none" w:sz="0" w:space="0" w:color="auto"/>
        <w:right w:val="none" w:sz="0" w:space="0" w:color="auto"/>
      </w:divBdr>
    </w:div>
    <w:div w:id="1687172386">
      <w:bodyDiv w:val="1"/>
      <w:marLeft w:val="0"/>
      <w:marRight w:val="0"/>
      <w:marTop w:val="0"/>
      <w:marBottom w:val="0"/>
      <w:divBdr>
        <w:top w:val="none" w:sz="0" w:space="0" w:color="auto"/>
        <w:left w:val="none" w:sz="0" w:space="0" w:color="auto"/>
        <w:bottom w:val="none" w:sz="0" w:space="0" w:color="auto"/>
        <w:right w:val="none" w:sz="0" w:space="0" w:color="auto"/>
      </w:divBdr>
    </w:div>
    <w:div w:id="1713266843">
      <w:bodyDiv w:val="1"/>
      <w:marLeft w:val="0"/>
      <w:marRight w:val="0"/>
      <w:marTop w:val="0"/>
      <w:marBottom w:val="0"/>
      <w:divBdr>
        <w:top w:val="none" w:sz="0" w:space="0" w:color="auto"/>
        <w:left w:val="none" w:sz="0" w:space="0" w:color="auto"/>
        <w:bottom w:val="none" w:sz="0" w:space="0" w:color="auto"/>
        <w:right w:val="none" w:sz="0" w:space="0" w:color="auto"/>
      </w:divBdr>
      <w:divsChild>
        <w:div w:id="1651791604">
          <w:marLeft w:val="0"/>
          <w:marRight w:val="0"/>
          <w:marTop w:val="0"/>
          <w:marBottom w:val="0"/>
          <w:divBdr>
            <w:top w:val="none" w:sz="0" w:space="0" w:color="auto"/>
            <w:left w:val="none" w:sz="0" w:space="0" w:color="auto"/>
            <w:bottom w:val="none" w:sz="0" w:space="0" w:color="auto"/>
            <w:right w:val="none" w:sz="0" w:space="0" w:color="auto"/>
          </w:divBdr>
          <w:divsChild>
            <w:div w:id="1074201559">
              <w:marLeft w:val="0"/>
              <w:marRight w:val="0"/>
              <w:marTop w:val="0"/>
              <w:marBottom w:val="0"/>
              <w:divBdr>
                <w:top w:val="none" w:sz="0" w:space="0" w:color="auto"/>
                <w:left w:val="none" w:sz="0" w:space="0" w:color="auto"/>
                <w:bottom w:val="none" w:sz="0" w:space="0" w:color="auto"/>
                <w:right w:val="none" w:sz="0" w:space="0" w:color="auto"/>
              </w:divBdr>
              <w:divsChild>
                <w:div w:id="1415393912">
                  <w:marLeft w:val="0"/>
                  <w:marRight w:val="0"/>
                  <w:marTop w:val="0"/>
                  <w:marBottom w:val="0"/>
                  <w:divBdr>
                    <w:top w:val="none" w:sz="0" w:space="0" w:color="auto"/>
                    <w:left w:val="none" w:sz="0" w:space="0" w:color="auto"/>
                    <w:bottom w:val="none" w:sz="0" w:space="0" w:color="auto"/>
                    <w:right w:val="none" w:sz="0" w:space="0" w:color="auto"/>
                  </w:divBdr>
                  <w:divsChild>
                    <w:div w:id="2129662045">
                      <w:marLeft w:val="-225"/>
                      <w:marRight w:val="-225"/>
                      <w:marTop w:val="0"/>
                      <w:marBottom w:val="0"/>
                      <w:divBdr>
                        <w:top w:val="none" w:sz="0" w:space="0" w:color="auto"/>
                        <w:left w:val="none" w:sz="0" w:space="0" w:color="auto"/>
                        <w:bottom w:val="none" w:sz="0" w:space="0" w:color="auto"/>
                        <w:right w:val="none" w:sz="0" w:space="0" w:color="auto"/>
                      </w:divBdr>
                      <w:divsChild>
                        <w:div w:id="844898279">
                          <w:marLeft w:val="0"/>
                          <w:marRight w:val="0"/>
                          <w:marTop w:val="0"/>
                          <w:marBottom w:val="0"/>
                          <w:divBdr>
                            <w:top w:val="none" w:sz="0" w:space="0" w:color="auto"/>
                            <w:left w:val="none" w:sz="0" w:space="0" w:color="auto"/>
                            <w:bottom w:val="none" w:sz="0" w:space="0" w:color="auto"/>
                            <w:right w:val="none" w:sz="0" w:space="0" w:color="auto"/>
                          </w:divBdr>
                          <w:divsChild>
                            <w:div w:id="207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271269">
      <w:bodyDiv w:val="1"/>
      <w:marLeft w:val="0"/>
      <w:marRight w:val="0"/>
      <w:marTop w:val="0"/>
      <w:marBottom w:val="0"/>
      <w:divBdr>
        <w:top w:val="none" w:sz="0" w:space="0" w:color="auto"/>
        <w:left w:val="none" w:sz="0" w:space="0" w:color="auto"/>
        <w:bottom w:val="none" w:sz="0" w:space="0" w:color="auto"/>
        <w:right w:val="none" w:sz="0" w:space="0" w:color="auto"/>
      </w:divBdr>
    </w:div>
    <w:div w:id="1988821801">
      <w:bodyDiv w:val="1"/>
      <w:marLeft w:val="0"/>
      <w:marRight w:val="0"/>
      <w:marTop w:val="0"/>
      <w:marBottom w:val="0"/>
      <w:divBdr>
        <w:top w:val="none" w:sz="0" w:space="0" w:color="auto"/>
        <w:left w:val="none" w:sz="0" w:space="0" w:color="auto"/>
        <w:bottom w:val="none" w:sz="0" w:space="0" w:color="auto"/>
        <w:right w:val="none" w:sz="0" w:space="0" w:color="auto"/>
      </w:divBdr>
    </w:div>
    <w:div w:id="213767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chart" Target="charts/chart21.xml"/><Relationship Id="rId21" Type="http://schemas.openxmlformats.org/officeDocument/2006/relationships/chart" Target="charts/chart8.xml"/><Relationship Id="rId34" Type="http://schemas.openxmlformats.org/officeDocument/2006/relationships/chart" Target="charts/chart18.xml"/><Relationship Id="rId42" Type="http://schemas.openxmlformats.org/officeDocument/2006/relationships/image" Target="media/image11.jpeg"/><Relationship Id="rId47" Type="http://schemas.openxmlformats.org/officeDocument/2006/relationships/image" Target="media/image16.jpeg"/><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3.xml"/><Relationship Id="rId29" Type="http://schemas.openxmlformats.org/officeDocument/2006/relationships/image" Target="media/image7.gif"/><Relationship Id="rId11" Type="http://schemas.openxmlformats.org/officeDocument/2006/relationships/image" Target="media/image3.gif"/><Relationship Id="rId24" Type="http://schemas.openxmlformats.org/officeDocument/2006/relationships/chart" Target="charts/chart11.xml"/><Relationship Id="rId32" Type="http://schemas.openxmlformats.org/officeDocument/2006/relationships/chart" Target="charts/chart16.xml"/><Relationship Id="rId37" Type="http://schemas.openxmlformats.org/officeDocument/2006/relationships/chart" Target="charts/chart19.xml"/><Relationship Id="rId40" Type="http://schemas.openxmlformats.org/officeDocument/2006/relationships/hyperlink" Target="mailto:census2012@zimstat.ac.zw" TargetMode="External"/><Relationship Id="rId45"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chart" Target="charts/chart10.xml"/><Relationship Id="rId28" Type="http://schemas.openxmlformats.org/officeDocument/2006/relationships/image" Target="media/image6.gif"/><Relationship Id="rId36" Type="http://schemas.openxmlformats.org/officeDocument/2006/relationships/image" Target="media/image10.emf"/><Relationship Id="rId49" Type="http://schemas.openxmlformats.org/officeDocument/2006/relationships/image" Target="media/image18.jpeg"/><Relationship Id="rId10" Type="http://schemas.openxmlformats.org/officeDocument/2006/relationships/hyperlink" Target="http://www.unfpa.org/" TargetMode="External"/><Relationship Id="rId19" Type="http://schemas.openxmlformats.org/officeDocument/2006/relationships/chart" Target="charts/chart6.xml"/><Relationship Id="rId31" Type="http://schemas.openxmlformats.org/officeDocument/2006/relationships/chart" Target="charts/chart15.xml"/><Relationship Id="rId44" Type="http://schemas.openxmlformats.org/officeDocument/2006/relationships/image" Target="media/image13.jpe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2.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image" Target="media/image8.gif"/><Relationship Id="rId35" Type="http://schemas.openxmlformats.org/officeDocument/2006/relationships/image" Target="media/image9.emf"/><Relationship Id="rId43" Type="http://schemas.openxmlformats.org/officeDocument/2006/relationships/image" Target="media/image12.jpeg"/><Relationship Id="rId48" Type="http://schemas.openxmlformats.org/officeDocument/2006/relationships/image" Target="media/image17.jpeg"/><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hart" Target="charts/chart17.xml"/><Relationship Id="rId38" Type="http://schemas.openxmlformats.org/officeDocument/2006/relationships/chart" Target="charts/chart20.xml"/><Relationship Id="rId46" Type="http://schemas.openxmlformats.org/officeDocument/2006/relationships/image" Target="media/image15.jpeg"/><Relationship Id="rId20" Type="http://schemas.openxmlformats.org/officeDocument/2006/relationships/chart" Target="charts/chart7.xml"/><Relationship Id="rId41" Type="http://schemas.openxmlformats.org/officeDocument/2006/relationships/hyperlink" Target="mailto:mailzwe@unfpa.org" TargetMode="Externa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3" Type="http://schemas.openxmlformats.org/officeDocument/2006/relationships/oleObject" Target="file:///I:\FACT%20SHEETS\Copy%20of%20LIFE%20TABLE%20RURAL%20URBAN%20BY%20SEX.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G:\UNFPA%20FURTHER%20ANALYSIS\Mortality%202012%20tables.xlsx" TargetMode="External"/></Relationships>
</file>

<file path=word/charts/_rels/chart11.xml.rels><?xml version="1.0" encoding="UTF-8" standalone="yes"?>
<Relationships xmlns="http://schemas.openxmlformats.org/package/2006/relationships"><Relationship Id="rId3" Type="http://schemas.openxmlformats.org/officeDocument/2006/relationships/oleObject" Target="file:///I:\FACT%20SHEETS\Copy%20of%20LIFE%20TABLE%20RURAL%20URBAN%20BY%20SEX.xlsx" TargetMode="External"/><Relationship Id="rId2" Type="http://schemas.microsoft.com/office/2011/relationships/chartColorStyle" Target="colors9.xml"/><Relationship Id="rId1" Type="http://schemas.microsoft.com/office/2011/relationships/chartStyle" Target="style9.xml"/></Relationships>
</file>

<file path=word/charts/_rels/chart12.xml.rels><?xml version="1.0" encoding="UTF-8" standalone="yes"?>
<Relationships xmlns="http://schemas.openxmlformats.org/package/2006/relationships"><Relationship Id="rId3" Type="http://schemas.openxmlformats.org/officeDocument/2006/relationships/oleObject" Target="file:///I:\FACT%20SHEETS\Copy%20of%20LIFE%20TABLE%20RURAL%20URBAN%20BY%20SEX.xlsx" TargetMode="External"/><Relationship Id="rId2" Type="http://schemas.microsoft.com/office/2011/relationships/chartColorStyle" Target="colors10.xml"/><Relationship Id="rId1" Type="http://schemas.microsoft.com/office/2011/relationships/chartStyle" Target="style10.xml"/></Relationships>
</file>

<file path=word/charts/_rels/chart13.xml.rels><?xml version="1.0" encoding="UTF-8" standalone="yes"?>
<Relationships xmlns="http://schemas.openxmlformats.org/package/2006/relationships"><Relationship Id="rId3" Type="http://schemas.openxmlformats.org/officeDocument/2006/relationships/oleObject" Target="file:///I:\FACT%20SHEETS\Copy%20of%20LIFE%20TABLE%20RURAL%20URBAN%20BY%20SEX.xlsx" TargetMode="External"/><Relationship Id="rId2" Type="http://schemas.microsoft.com/office/2011/relationships/chartColorStyle" Target="colors11.xml"/><Relationship Id="rId1" Type="http://schemas.microsoft.com/office/2011/relationships/chartStyle" Target="style11.xml"/></Relationships>
</file>

<file path=word/charts/_rels/chart14.xml.rels><?xml version="1.0" encoding="UTF-8" standalone="yes"?>
<Relationships xmlns="http://schemas.openxmlformats.org/package/2006/relationships"><Relationship Id="rId3" Type="http://schemas.openxmlformats.org/officeDocument/2006/relationships/oleObject" Target="file:///I:\FACT%20SHEETS\Copy%20of%20LIFE%20TABLE%20RURAL%20URBAN%20BY%20SEX.xlsx" TargetMode="External"/><Relationship Id="rId2" Type="http://schemas.microsoft.com/office/2011/relationships/chartColorStyle" Target="colors12.xml"/><Relationship Id="rId1" Type="http://schemas.microsoft.com/office/2011/relationships/chartStyle" Target="style12.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chikutsa\Documents\2012%20CENSUS%20FURTHER%20ANALYSIS\Further%20Analysis%20Computations.xlsx" TargetMode="External"/><Relationship Id="rId2" Type="http://schemas.microsoft.com/office/2011/relationships/chartColorStyle" Target="colors13.xml"/><Relationship Id="rId1" Type="http://schemas.microsoft.com/office/2011/relationships/chartStyle" Target="style13.xm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I:\UNFPA%20FURTHER%20ANALYSIS\111LIFE%20TABLE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chikutsa\AppData\Local\Temp\pop%20composition%202012.xlsx" TargetMode="External"/></Relationships>
</file>

<file path=word/charts/_rels/chart18.xml.rels><?xml version="1.0" encoding="UTF-8" standalone="yes"?>
<Relationships xmlns="http://schemas.openxmlformats.org/package/2006/relationships"><Relationship Id="rId3" Type="http://schemas.openxmlformats.org/officeDocument/2006/relationships/oleObject" Target="file:///I:\FACT%20SHEETS\Copy%20of%20LIFE%20TABLE%20RURAL%20URBAN%20BY%20SEX.xlsx" TargetMode="External"/><Relationship Id="rId2" Type="http://schemas.microsoft.com/office/2011/relationships/chartColorStyle" Target="colors15.xml"/><Relationship Id="rId1" Type="http://schemas.microsoft.com/office/2011/relationships/chartStyle" Target="style15.xml"/></Relationships>
</file>

<file path=word/charts/_rels/chart19.xml.rels><?xml version="1.0" encoding="UTF-8" standalone="yes"?>
<Relationships xmlns="http://schemas.openxmlformats.org/package/2006/relationships"><Relationship Id="rId3" Type="http://schemas.openxmlformats.org/officeDocument/2006/relationships/oleObject" Target="file:///I:\FACT%20SHEETS\Copy%20of%20LIFE%20TABLE%20RURAL%20URBAN%20BY%20SEX.xlsx" TargetMode="External"/><Relationship Id="rId2" Type="http://schemas.microsoft.com/office/2011/relationships/chartColorStyle" Target="colors16.xml"/><Relationship Id="rId1" Type="http://schemas.microsoft.com/office/2011/relationships/chartStyle" Target="style16.xml"/></Relationships>
</file>

<file path=word/charts/_rels/chart2.xml.rels><?xml version="1.0" encoding="UTF-8" standalone="yes"?>
<Relationships xmlns="http://schemas.openxmlformats.org/package/2006/relationships"><Relationship Id="rId3" Type="http://schemas.openxmlformats.org/officeDocument/2006/relationships/oleObject" Target="file:///I:\FACT%20SHEETS\Copy%20of%20LIFE%20TABLE%20RURAL%20URBAN%20BY%20SEX.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I:\FACT%20SHEETS\Copy%20of%20LIFE%20TABLE%20RURAL%20URBAN%20BY%20SEX.xlsx" TargetMode="External"/><Relationship Id="rId2" Type="http://schemas.microsoft.com/office/2011/relationships/chartColorStyle" Target="colors17.xml"/><Relationship Id="rId1" Type="http://schemas.microsoft.com/office/2011/relationships/chartStyle" Target="style17.xml"/></Relationships>
</file>

<file path=word/charts/_rels/chart21.xml.rels><?xml version="1.0" encoding="UTF-8" standalone="yes"?>
<Relationships xmlns="http://schemas.openxmlformats.org/package/2006/relationships"><Relationship Id="rId3" Type="http://schemas.openxmlformats.org/officeDocument/2006/relationships/oleObject" Target="file:///I:\FACT%20SHEETS\Copy%20of%20LIFE%20TABLE%20RURAL%20URBAN%20BY%20SEX.xlsx" TargetMode="External"/><Relationship Id="rId2" Type="http://schemas.microsoft.com/office/2011/relationships/chartColorStyle" Target="colors18.xml"/><Relationship Id="rId1" Type="http://schemas.microsoft.com/office/2011/relationships/chartStyle" Target="style18.xml"/></Relationships>
</file>

<file path=word/charts/_rels/chart3.xml.rels><?xml version="1.0" encoding="UTF-8" standalone="yes"?>
<Relationships xmlns="http://schemas.openxmlformats.org/package/2006/relationships"><Relationship Id="rId3" Type="http://schemas.openxmlformats.org/officeDocument/2006/relationships/oleObject" Target="file:///I:\FACT%20SHEETS\Copy%20of%20LIFE%20TABLE%20RURAL%20URBAN%20BY%20SEX.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I:\FACT%20SHEETS\Copy%20of%20LIFE%20TABLE%20RURAL%20URBAN%20BY%20SEX.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I:\FACT%20SHEETS\Copy%20of%20LIFE%20TABLE%20RURAL%20URBAN%20BY%20SEX.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I:\FACT%20SHEETS\Copy%20of%20LIFE%20TABLE%20RURAL%20URBAN%20BY%20SEX.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UNFPA-W2008-SER\Users%20Folders\Piason\piason\pds\cso\census\2012\tables\Maternal%20Mortality%202012%20tables_pmm%20formatted_analysis%20for%20cpd7.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1" Type="http://schemas.openxmlformats.org/officeDocument/2006/relationships/oleObject" Target="file:///D:\UNFPA%20FURTHER%20ANALYSIS\Mortality%202012%20tables.xlsx" TargetMode="External"/></Relationships>
</file>

<file path=word/charts/_rels/chart9.xml.rels><?xml version="1.0" encoding="UTF-8" standalone="yes"?>
<Relationships xmlns="http://schemas.openxmlformats.org/package/2006/relationships"><Relationship Id="rId3" Type="http://schemas.openxmlformats.org/officeDocument/2006/relationships/oleObject" Target="file:///I:\FACT%20SHEETS\Copy%20of%20LIFE%20TABLE%20RURAL%20URBAN%20BY%20SEX.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ZW" sz="1000"/>
              <a:t>Observed</a:t>
            </a:r>
            <a:r>
              <a:rPr lang="en-ZW" sz="1000" baseline="0"/>
              <a:t> </a:t>
            </a:r>
            <a:r>
              <a:rPr lang="en-ZW" sz="1000"/>
              <a:t>Age Specific Fertility Rates</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8880189692197569"/>
          <c:y val="0.1974501722440945"/>
          <c:w val="0.77417859057940341"/>
          <c:h val="0.59919959601823969"/>
        </c:manualLayout>
      </c:layout>
      <c:lineChart>
        <c:grouping val="standard"/>
        <c:varyColors val="0"/>
        <c:ser>
          <c:idx val="0"/>
          <c:order val="0"/>
          <c:tx>
            <c:strRef>
              <c:f>Sheet3!$I$6</c:f>
              <c:strCache>
                <c:ptCount val="1"/>
                <c:pt idx="0">
                  <c:v>1992</c:v>
                </c:pt>
              </c:strCache>
            </c:strRef>
          </c:tx>
          <c:spPr>
            <a:ln w="28575" cap="rnd">
              <a:solidFill>
                <a:schemeClr val="accent1"/>
              </a:solidFill>
              <a:round/>
            </a:ln>
            <a:effectLst/>
          </c:spPr>
          <c:marker>
            <c:symbol val="none"/>
          </c:marker>
          <c:cat>
            <c:strRef>
              <c:f>Sheet3!$H$7:$H$13</c:f>
              <c:strCache>
                <c:ptCount val="7"/>
                <c:pt idx="0">
                  <c:v>15-19</c:v>
                </c:pt>
                <c:pt idx="1">
                  <c:v>20-24</c:v>
                </c:pt>
                <c:pt idx="2">
                  <c:v>25-29</c:v>
                </c:pt>
                <c:pt idx="3">
                  <c:v>30-34</c:v>
                </c:pt>
                <c:pt idx="4">
                  <c:v>35-39</c:v>
                </c:pt>
                <c:pt idx="5">
                  <c:v>40-44</c:v>
                </c:pt>
                <c:pt idx="6">
                  <c:v>45-49</c:v>
                </c:pt>
              </c:strCache>
            </c:strRef>
          </c:cat>
          <c:val>
            <c:numRef>
              <c:f>Sheet3!$I$7:$I$13</c:f>
              <c:numCache>
                <c:formatCode>General</c:formatCode>
                <c:ptCount val="7"/>
                <c:pt idx="0">
                  <c:v>0.08</c:v>
                </c:pt>
                <c:pt idx="1">
                  <c:v>0.22</c:v>
                </c:pt>
                <c:pt idx="2">
                  <c:v>0.21</c:v>
                </c:pt>
                <c:pt idx="3">
                  <c:v>0.18</c:v>
                </c:pt>
                <c:pt idx="4">
                  <c:v>0.14000000000000001</c:v>
                </c:pt>
                <c:pt idx="5">
                  <c:v>0.08</c:v>
                </c:pt>
                <c:pt idx="6">
                  <c:v>0.03</c:v>
                </c:pt>
              </c:numCache>
            </c:numRef>
          </c:val>
          <c:smooth val="0"/>
        </c:ser>
        <c:ser>
          <c:idx val="1"/>
          <c:order val="1"/>
          <c:tx>
            <c:strRef>
              <c:f>Sheet3!$J$6</c:f>
              <c:strCache>
                <c:ptCount val="1"/>
                <c:pt idx="0">
                  <c:v>2002</c:v>
                </c:pt>
              </c:strCache>
            </c:strRef>
          </c:tx>
          <c:spPr>
            <a:ln w="28575" cap="rnd">
              <a:solidFill>
                <a:schemeClr val="accent2"/>
              </a:solidFill>
              <a:round/>
            </a:ln>
            <a:effectLst/>
          </c:spPr>
          <c:marker>
            <c:symbol val="none"/>
          </c:marker>
          <c:cat>
            <c:strRef>
              <c:f>Sheet3!$H$7:$H$13</c:f>
              <c:strCache>
                <c:ptCount val="7"/>
                <c:pt idx="0">
                  <c:v>15-19</c:v>
                </c:pt>
                <c:pt idx="1">
                  <c:v>20-24</c:v>
                </c:pt>
                <c:pt idx="2">
                  <c:v>25-29</c:v>
                </c:pt>
                <c:pt idx="3">
                  <c:v>30-34</c:v>
                </c:pt>
                <c:pt idx="4">
                  <c:v>35-39</c:v>
                </c:pt>
                <c:pt idx="5">
                  <c:v>40-44</c:v>
                </c:pt>
                <c:pt idx="6">
                  <c:v>45-49</c:v>
                </c:pt>
              </c:strCache>
            </c:strRef>
          </c:cat>
          <c:val>
            <c:numRef>
              <c:f>Sheet3!$J$7:$J$13</c:f>
              <c:numCache>
                <c:formatCode>General</c:formatCode>
                <c:ptCount val="7"/>
                <c:pt idx="0">
                  <c:v>7.0000000000000007E-2</c:v>
                </c:pt>
                <c:pt idx="1">
                  <c:v>0.18</c:v>
                </c:pt>
                <c:pt idx="2">
                  <c:v>0.17</c:v>
                </c:pt>
                <c:pt idx="3">
                  <c:v>0.13</c:v>
                </c:pt>
                <c:pt idx="4">
                  <c:v>0.1</c:v>
                </c:pt>
                <c:pt idx="5">
                  <c:v>0.05</c:v>
                </c:pt>
                <c:pt idx="6">
                  <c:v>0.02</c:v>
                </c:pt>
              </c:numCache>
            </c:numRef>
          </c:val>
          <c:smooth val="0"/>
        </c:ser>
        <c:ser>
          <c:idx val="2"/>
          <c:order val="2"/>
          <c:tx>
            <c:strRef>
              <c:f>Sheet3!$K$6</c:f>
              <c:strCache>
                <c:ptCount val="1"/>
                <c:pt idx="0">
                  <c:v>2012</c:v>
                </c:pt>
              </c:strCache>
            </c:strRef>
          </c:tx>
          <c:spPr>
            <a:ln w="28575" cap="rnd">
              <a:solidFill>
                <a:schemeClr val="accent3"/>
              </a:solidFill>
              <a:round/>
            </a:ln>
            <a:effectLst/>
          </c:spPr>
          <c:marker>
            <c:symbol val="none"/>
          </c:marker>
          <c:cat>
            <c:strRef>
              <c:f>Sheet3!$H$7:$H$13</c:f>
              <c:strCache>
                <c:ptCount val="7"/>
                <c:pt idx="0">
                  <c:v>15-19</c:v>
                </c:pt>
                <c:pt idx="1">
                  <c:v>20-24</c:v>
                </c:pt>
                <c:pt idx="2">
                  <c:v>25-29</c:v>
                </c:pt>
                <c:pt idx="3">
                  <c:v>30-34</c:v>
                </c:pt>
                <c:pt idx="4">
                  <c:v>35-39</c:v>
                </c:pt>
                <c:pt idx="5">
                  <c:v>40-44</c:v>
                </c:pt>
                <c:pt idx="6">
                  <c:v>45-49</c:v>
                </c:pt>
              </c:strCache>
            </c:strRef>
          </c:cat>
          <c:val>
            <c:numRef>
              <c:f>Sheet3!$K$7:$K$13</c:f>
              <c:numCache>
                <c:formatCode>General</c:formatCode>
                <c:ptCount val="7"/>
                <c:pt idx="0">
                  <c:v>7.0000000000000007E-2</c:v>
                </c:pt>
                <c:pt idx="1">
                  <c:v>0.19</c:v>
                </c:pt>
                <c:pt idx="2">
                  <c:v>0.18</c:v>
                </c:pt>
                <c:pt idx="3">
                  <c:v>0.15</c:v>
                </c:pt>
                <c:pt idx="4">
                  <c:v>0.11</c:v>
                </c:pt>
                <c:pt idx="5">
                  <c:v>0.04</c:v>
                </c:pt>
                <c:pt idx="6">
                  <c:v>0.01</c:v>
                </c:pt>
              </c:numCache>
            </c:numRef>
          </c:val>
          <c:smooth val="0"/>
        </c:ser>
        <c:dLbls>
          <c:showLegendKey val="0"/>
          <c:showVal val="0"/>
          <c:showCatName val="0"/>
          <c:showSerName val="0"/>
          <c:showPercent val="0"/>
          <c:showBubbleSize val="0"/>
        </c:dLbls>
        <c:smooth val="0"/>
        <c:axId val="907225408"/>
        <c:axId val="907219808"/>
      </c:lineChart>
      <c:catAx>
        <c:axId val="907225408"/>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ZW" sz="900"/>
                  <a:t>Age Group</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7219808"/>
        <c:crosses val="autoZero"/>
        <c:auto val="1"/>
        <c:lblAlgn val="ctr"/>
        <c:lblOffset val="100"/>
        <c:noMultiLvlLbl val="0"/>
      </c:catAx>
      <c:valAx>
        <c:axId val="907219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a:t>Age Specific Fertility Rates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7225408"/>
        <c:crosses val="autoZero"/>
        <c:crossBetween val="between"/>
      </c:valAx>
      <c:spPr>
        <a:noFill/>
        <a:ln>
          <a:noFill/>
        </a:ln>
        <a:effectLst/>
      </c:spPr>
    </c:plotArea>
    <c:legend>
      <c:legendPos val="b"/>
      <c:layout>
        <c:manualLayout>
          <c:xMode val="edge"/>
          <c:yMode val="edge"/>
          <c:x val="0.15721449236459079"/>
          <c:y val="0.91897863353018361"/>
          <c:w val="0.68557064244810306"/>
          <c:h val="6.800053313648293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262768478443505E-2"/>
          <c:y val="1.8407408178624488E-3"/>
          <c:w val="0.88572550215916568"/>
          <c:h val="0.54209729230878445"/>
        </c:manualLayout>
      </c:layout>
      <c:lineChart>
        <c:grouping val="standard"/>
        <c:varyColors val="0"/>
        <c:ser>
          <c:idx val="0"/>
          <c:order val="0"/>
          <c:tx>
            <c:strRef>
              <c:f>Sheet12!$J$6</c:f>
              <c:strCache>
                <c:ptCount val="1"/>
                <c:pt idx="0">
                  <c:v>ZDHS 88 (Dir.)</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Sheet12!$I$7:$I$44</c:f>
              <c:strCache>
                <c:ptCount val="38"/>
                <c:pt idx="0">
                  <c:v>1973</c:v>
                </c:pt>
                <c:pt idx="1">
                  <c:v>1974</c:v>
                </c:pt>
                <c:pt idx="2">
                  <c:v>1975</c:v>
                </c:pt>
                <c:pt idx="3">
                  <c:v>1976</c:v>
                </c:pt>
                <c:pt idx="4">
                  <c:v>1977</c:v>
                </c:pt>
                <c:pt idx="5">
                  <c:v>1978</c:v>
                </c:pt>
                <c:pt idx="6">
                  <c:v>1979</c:v>
                </c:pt>
                <c:pt idx="7">
                  <c:v>1980</c:v>
                </c:pt>
                <c:pt idx="8">
                  <c:v>1981</c:v>
                </c:pt>
                <c:pt idx="9">
                  <c:v>1982</c:v>
                </c:pt>
                <c:pt idx="10">
                  <c:v>1983</c:v>
                </c:pt>
                <c:pt idx="11">
                  <c:v>1984</c:v>
                </c:pt>
                <c:pt idx="12">
                  <c:v>1985</c:v>
                </c:pt>
                <c:pt idx="13">
                  <c:v>1986</c:v>
                </c:pt>
                <c:pt idx="14">
                  <c:v>1987</c:v>
                </c:pt>
                <c:pt idx="15">
                  <c:v>1988</c:v>
                </c:pt>
                <c:pt idx="16">
                  <c:v>1989</c:v>
                </c:pt>
                <c:pt idx="17">
                  <c:v>1990</c:v>
                </c:pt>
                <c:pt idx="18">
                  <c:v>1991</c:v>
                </c:pt>
                <c:pt idx="19">
                  <c:v>1992</c:v>
                </c:pt>
                <c:pt idx="20">
                  <c:v>1993</c:v>
                </c:pt>
                <c:pt idx="21">
                  <c:v>1994</c:v>
                </c:pt>
                <c:pt idx="22">
                  <c:v>1995</c:v>
                </c:pt>
                <c:pt idx="23">
                  <c:v>1996</c:v>
                </c:pt>
                <c:pt idx="24">
                  <c:v>1997</c:v>
                </c:pt>
                <c:pt idx="25">
                  <c:v>1998</c:v>
                </c:pt>
                <c:pt idx="26">
                  <c:v>1999</c:v>
                </c:pt>
                <c:pt idx="27">
                  <c:v>2000</c:v>
                </c:pt>
                <c:pt idx="28">
                  <c:v>2001</c:v>
                </c:pt>
                <c:pt idx="29">
                  <c:v>2002</c:v>
                </c:pt>
                <c:pt idx="30">
                  <c:v>2003</c:v>
                </c:pt>
                <c:pt idx="31">
                  <c:v>2004</c:v>
                </c:pt>
                <c:pt idx="32">
                  <c:v>2005</c:v>
                </c:pt>
                <c:pt idx="33">
                  <c:v>2006</c:v>
                </c:pt>
                <c:pt idx="34">
                  <c:v>2007</c:v>
                </c:pt>
                <c:pt idx="35">
                  <c:v>2008</c:v>
                </c:pt>
                <c:pt idx="36">
                  <c:v>2009</c:v>
                </c:pt>
                <c:pt idx="37">
                  <c:v>2010</c:v>
                </c:pt>
              </c:strCache>
            </c:strRef>
          </c:cat>
          <c:val>
            <c:numRef>
              <c:f>Sheet12!$J$7:$J$44</c:f>
              <c:numCache>
                <c:formatCode>General</c:formatCode>
                <c:ptCount val="38"/>
                <c:pt idx="3">
                  <c:v>92</c:v>
                </c:pt>
                <c:pt idx="8">
                  <c:v>104</c:v>
                </c:pt>
                <c:pt idx="13">
                  <c:v>75</c:v>
                </c:pt>
              </c:numCache>
            </c:numRef>
          </c:val>
          <c:smooth val="0"/>
        </c:ser>
        <c:ser>
          <c:idx val="1"/>
          <c:order val="1"/>
          <c:tx>
            <c:strRef>
              <c:f>Sheet12!$K$6</c:f>
              <c:strCache>
                <c:ptCount val="1"/>
                <c:pt idx="0">
                  <c:v>ZDHS 88 (Ind.)</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Sheet12!$I$7:$I$44</c:f>
              <c:strCache>
                <c:ptCount val="38"/>
                <c:pt idx="0">
                  <c:v>1973</c:v>
                </c:pt>
                <c:pt idx="1">
                  <c:v>1974</c:v>
                </c:pt>
                <c:pt idx="2">
                  <c:v>1975</c:v>
                </c:pt>
                <c:pt idx="3">
                  <c:v>1976</c:v>
                </c:pt>
                <c:pt idx="4">
                  <c:v>1977</c:v>
                </c:pt>
                <c:pt idx="5">
                  <c:v>1978</c:v>
                </c:pt>
                <c:pt idx="6">
                  <c:v>1979</c:v>
                </c:pt>
                <c:pt idx="7">
                  <c:v>1980</c:v>
                </c:pt>
                <c:pt idx="8">
                  <c:v>1981</c:v>
                </c:pt>
                <c:pt idx="9">
                  <c:v>1982</c:v>
                </c:pt>
                <c:pt idx="10">
                  <c:v>1983</c:v>
                </c:pt>
                <c:pt idx="11">
                  <c:v>1984</c:v>
                </c:pt>
                <c:pt idx="12">
                  <c:v>1985</c:v>
                </c:pt>
                <c:pt idx="13">
                  <c:v>1986</c:v>
                </c:pt>
                <c:pt idx="14">
                  <c:v>1987</c:v>
                </c:pt>
                <c:pt idx="15">
                  <c:v>1988</c:v>
                </c:pt>
                <c:pt idx="16">
                  <c:v>1989</c:v>
                </c:pt>
                <c:pt idx="17">
                  <c:v>1990</c:v>
                </c:pt>
                <c:pt idx="18">
                  <c:v>1991</c:v>
                </c:pt>
                <c:pt idx="19">
                  <c:v>1992</c:v>
                </c:pt>
                <c:pt idx="20">
                  <c:v>1993</c:v>
                </c:pt>
                <c:pt idx="21">
                  <c:v>1994</c:v>
                </c:pt>
                <c:pt idx="22">
                  <c:v>1995</c:v>
                </c:pt>
                <c:pt idx="23">
                  <c:v>1996</c:v>
                </c:pt>
                <c:pt idx="24">
                  <c:v>1997</c:v>
                </c:pt>
                <c:pt idx="25">
                  <c:v>1998</c:v>
                </c:pt>
                <c:pt idx="26">
                  <c:v>1999</c:v>
                </c:pt>
                <c:pt idx="27">
                  <c:v>2000</c:v>
                </c:pt>
                <c:pt idx="28">
                  <c:v>2001</c:v>
                </c:pt>
                <c:pt idx="29">
                  <c:v>2002</c:v>
                </c:pt>
                <c:pt idx="30">
                  <c:v>2003</c:v>
                </c:pt>
                <c:pt idx="31">
                  <c:v>2004</c:v>
                </c:pt>
                <c:pt idx="32">
                  <c:v>2005</c:v>
                </c:pt>
                <c:pt idx="33">
                  <c:v>2006</c:v>
                </c:pt>
                <c:pt idx="34">
                  <c:v>2007</c:v>
                </c:pt>
                <c:pt idx="35">
                  <c:v>2008</c:v>
                </c:pt>
                <c:pt idx="36">
                  <c:v>2009</c:v>
                </c:pt>
                <c:pt idx="37">
                  <c:v>2010</c:v>
                </c:pt>
              </c:strCache>
            </c:strRef>
          </c:cat>
          <c:val>
            <c:numRef>
              <c:f>Sheet12!$K$7:$K$44</c:f>
              <c:numCache>
                <c:formatCode>General</c:formatCode>
                <c:ptCount val="38"/>
                <c:pt idx="0">
                  <c:v>99</c:v>
                </c:pt>
                <c:pt idx="3">
                  <c:v>95</c:v>
                </c:pt>
                <c:pt idx="6">
                  <c:v>94</c:v>
                </c:pt>
                <c:pt idx="7">
                  <c:v>84</c:v>
                </c:pt>
                <c:pt idx="11">
                  <c:v>96</c:v>
                </c:pt>
                <c:pt idx="12">
                  <c:v>90</c:v>
                </c:pt>
              </c:numCache>
            </c:numRef>
          </c:val>
          <c:smooth val="0"/>
        </c:ser>
        <c:ser>
          <c:idx val="2"/>
          <c:order val="2"/>
          <c:tx>
            <c:strRef>
              <c:f>Sheet12!$L$6</c:f>
              <c:strCache>
                <c:ptCount val="1"/>
                <c:pt idx="0">
                  <c:v>ZDHS 94 (Dir.)</c:v>
                </c:pt>
              </c:strCache>
            </c:strRef>
          </c:tx>
          <c:spPr>
            <a:ln w="31750" cap="rnd">
              <a:solidFill>
                <a:schemeClr val="accent3"/>
              </a:solidFill>
              <a:round/>
            </a:ln>
            <a:effectLst/>
          </c:spPr>
          <c:marker>
            <c:symbol val="circle"/>
            <c:size val="17"/>
            <c:spPr>
              <a:solidFill>
                <a:schemeClr val="accent3"/>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Sheet12!$I$7:$I$44</c:f>
              <c:strCache>
                <c:ptCount val="38"/>
                <c:pt idx="0">
                  <c:v>1973</c:v>
                </c:pt>
                <c:pt idx="1">
                  <c:v>1974</c:v>
                </c:pt>
                <c:pt idx="2">
                  <c:v>1975</c:v>
                </c:pt>
                <c:pt idx="3">
                  <c:v>1976</c:v>
                </c:pt>
                <c:pt idx="4">
                  <c:v>1977</c:v>
                </c:pt>
                <c:pt idx="5">
                  <c:v>1978</c:v>
                </c:pt>
                <c:pt idx="6">
                  <c:v>1979</c:v>
                </c:pt>
                <c:pt idx="7">
                  <c:v>1980</c:v>
                </c:pt>
                <c:pt idx="8">
                  <c:v>1981</c:v>
                </c:pt>
                <c:pt idx="9">
                  <c:v>1982</c:v>
                </c:pt>
                <c:pt idx="10">
                  <c:v>1983</c:v>
                </c:pt>
                <c:pt idx="11">
                  <c:v>1984</c:v>
                </c:pt>
                <c:pt idx="12">
                  <c:v>1985</c:v>
                </c:pt>
                <c:pt idx="13">
                  <c:v>1986</c:v>
                </c:pt>
                <c:pt idx="14">
                  <c:v>1987</c:v>
                </c:pt>
                <c:pt idx="15">
                  <c:v>1988</c:v>
                </c:pt>
                <c:pt idx="16">
                  <c:v>1989</c:v>
                </c:pt>
                <c:pt idx="17">
                  <c:v>1990</c:v>
                </c:pt>
                <c:pt idx="18">
                  <c:v>1991</c:v>
                </c:pt>
                <c:pt idx="19">
                  <c:v>1992</c:v>
                </c:pt>
                <c:pt idx="20">
                  <c:v>1993</c:v>
                </c:pt>
                <c:pt idx="21">
                  <c:v>1994</c:v>
                </c:pt>
                <c:pt idx="22">
                  <c:v>1995</c:v>
                </c:pt>
                <c:pt idx="23">
                  <c:v>1996</c:v>
                </c:pt>
                <c:pt idx="24">
                  <c:v>1997</c:v>
                </c:pt>
                <c:pt idx="25">
                  <c:v>1998</c:v>
                </c:pt>
                <c:pt idx="26">
                  <c:v>1999</c:v>
                </c:pt>
                <c:pt idx="27">
                  <c:v>2000</c:v>
                </c:pt>
                <c:pt idx="28">
                  <c:v>2001</c:v>
                </c:pt>
                <c:pt idx="29">
                  <c:v>2002</c:v>
                </c:pt>
                <c:pt idx="30">
                  <c:v>2003</c:v>
                </c:pt>
                <c:pt idx="31">
                  <c:v>2004</c:v>
                </c:pt>
                <c:pt idx="32">
                  <c:v>2005</c:v>
                </c:pt>
                <c:pt idx="33">
                  <c:v>2006</c:v>
                </c:pt>
                <c:pt idx="34">
                  <c:v>2007</c:v>
                </c:pt>
                <c:pt idx="35">
                  <c:v>2008</c:v>
                </c:pt>
                <c:pt idx="36">
                  <c:v>2009</c:v>
                </c:pt>
                <c:pt idx="37">
                  <c:v>2010</c:v>
                </c:pt>
              </c:strCache>
            </c:strRef>
          </c:cat>
          <c:val>
            <c:numRef>
              <c:f>Sheet12!$L$7:$L$44</c:f>
              <c:numCache>
                <c:formatCode>General</c:formatCode>
                <c:ptCount val="38"/>
                <c:pt idx="9">
                  <c:v>101</c:v>
                </c:pt>
                <c:pt idx="13">
                  <c:v>75</c:v>
                </c:pt>
                <c:pt idx="19">
                  <c:v>77</c:v>
                </c:pt>
              </c:numCache>
            </c:numRef>
          </c:val>
          <c:smooth val="0"/>
        </c:ser>
        <c:ser>
          <c:idx val="3"/>
          <c:order val="3"/>
          <c:tx>
            <c:strRef>
              <c:f>Sheet12!$M$6</c:f>
              <c:strCache>
                <c:ptCount val="1"/>
                <c:pt idx="0">
                  <c:v>ZDHS 94 (Ind.)</c:v>
                </c:pt>
              </c:strCache>
            </c:strRef>
          </c:tx>
          <c:spPr>
            <a:ln w="31750" cap="rnd">
              <a:solidFill>
                <a:schemeClr val="accent4"/>
              </a:solidFill>
              <a:round/>
            </a:ln>
            <a:effectLst/>
          </c:spPr>
          <c:marker>
            <c:symbol val="circle"/>
            <c:size val="17"/>
            <c:spPr>
              <a:solidFill>
                <a:schemeClr val="accent4"/>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Sheet12!$I$7:$I$44</c:f>
              <c:strCache>
                <c:ptCount val="38"/>
                <c:pt idx="0">
                  <c:v>1973</c:v>
                </c:pt>
                <c:pt idx="1">
                  <c:v>1974</c:v>
                </c:pt>
                <c:pt idx="2">
                  <c:v>1975</c:v>
                </c:pt>
                <c:pt idx="3">
                  <c:v>1976</c:v>
                </c:pt>
                <c:pt idx="4">
                  <c:v>1977</c:v>
                </c:pt>
                <c:pt idx="5">
                  <c:v>1978</c:v>
                </c:pt>
                <c:pt idx="6">
                  <c:v>1979</c:v>
                </c:pt>
                <c:pt idx="7">
                  <c:v>1980</c:v>
                </c:pt>
                <c:pt idx="8">
                  <c:v>1981</c:v>
                </c:pt>
                <c:pt idx="9">
                  <c:v>1982</c:v>
                </c:pt>
                <c:pt idx="10">
                  <c:v>1983</c:v>
                </c:pt>
                <c:pt idx="11">
                  <c:v>1984</c:v>
                </c:pt>
                <c:pt idx="12">
                  <c:v>1985</c:v>
                </c:pt>
                <c:pt idx="13">
                  <c:v>1986</c:v>
                </c:pt>
                <c:pt idx="14">
                  <c:v>1987</c:v>
                </c:pt>
                <c:pt idx="15">
                  <c:v>1988</c:v>
                </c:pt>
                <c:pt idx="16">
                  <c:v>1989</c:v>
                </c:pt>
                <c:pt idx="17">
                  <c:v>1990</c:v>
                </c:pt>
                <c:pt idx="18">
                  <c:v>1991</c:v>
                </c:pt>
                <c:pt idx="19">
                  <c:v>1992</c:v>
                </c:pt>
                <c:pt idx="20">
                  <c:v>1993</c:v>
                </c:pt>
                <c:pt idx="21">
                  <c:v>1994</c:v>
                </c:pt>
                <c:pt idx="22">
                  <c:v>1995</c:v>
                </c:pt>
                <c:pt idx="23">
                  <c:v>1996</c:v>
                </c:pt>
                <c:pt idx="24">
                  <c:v>1997</c:v>
                </c:pt>
                <c:pt idx="25">
                  <c:v>1998</c:v>
                </c:pt>
                <c:pt idx="26">
                  <c:v>1999</c:v>
                </c:pt>
                <c:pt idx="27">
                  <c:v>2000</c:v>
                </c:pt>
                <c:pt idx="28">
                  <c:v>2001</c:v>
                </c:pt>
                <c:pt idx="29">
                  <c:v>2002</c:v>
                </c:pt>
                <c:pt idx="30">
                  <c:v>2003</c:v>
                </c:pt>
                <c:pt idx="31">
                  <c:v>2004</c:v>
                </c:pt>
                <c:pt idx="32">
                  <c:v>2005</c:v>
                </c:pt>
                <c:pt idx="33">
                  <c:v>2006</c:v>
                </c:pt>
                <c:pt idx="34">
                  <c:v>2007</c:v>
                </c:pt>
                <c:pt idx="35">
                  <c:v>2008</c:v>
                </c:pt>
                <c:pt idx="36">
                  <c:v>2009</c:v>
                </c:pt>
                <c:pt idx="37">
                  <c:v>2010</c:v>
                </c:pt>
              </c:strCache>
            </c:strRef>
          </c:cat>
          <c:val>
            <c:numRef>
              <c:f>Sheet12!$M$7:$M$44</c:f>
              <c:numCache>
                <c:formatCode>General</c:formatCode>
                <c:ptCount val="38"/>
                <c:pt idx="7">
                  <c:v>91</c:v>
                </c:pt>
                <c:pt idx="10">
                  <c:v>86</c:v>
                </c:pt>
                <c:pt idx="13">
                  <c:v>85</c:v>
                </c:pt>
                <c:pt idx="15">
                  <c:v>84</c:v>
                </c:pt>
                <c:pt idx="17">
                  <c:v>83</c:v>
                </c:pt>
              </c:numCache>
            </c:numRef>
          </c:val>
          <c:smooth val="0"/>
        </c:ser>
        <c:ser>
          <c:idx val="4"/>
          <c:order val="4"/>
          <c:tx>
            <c:strRef>
              <c:f>Sheet12!$N$6</c:f>
              <c:strCache>
                <c:ptCount val="1"/>
                <c:pt idx="0">
                  <c:v>ZDHS 99 (Dir.)</c:v>
                </c:pt>
              </c:strCache>
            </c:strRef>
          </c:tx>
          <c:spPr>
            <a:ln w="31750" cap="rnd">
              <a:solidFill>
                <a:schemeClr val="accent5"/>
              </a:solidFill>
              <a:round/>
            </a:ln>
            <a:effectLst/>
          </c:spPr>
          <c:marker>
            <c:symbol val="circle"/>
            <c:size val="17"/>
            <c:spPr>
              <a:solidFill>
                <a:schemeClr val="accent5"/>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Sheet12!$I$7:$I$44</c:f>
              <c:strCache>
                <c:ptCount val="38"/>
                <c:pt idx="0">
                  <c:v>1973</c:v>
                </c:pt>
                <c:pt idx="1">
                  <c:v>1974</c:v>
                </c:pt>
                <c:pt idx="2">
                  <c:v>1975</c:v>
                </c:pt>
                <c:pt idx="3">
                  <c:v>1976</c:v>
                </c:pt>
                <c:pt idx="4">
                  <c:v>1977</c:v>
                </c:pt>
                <c:pt idx="5">
                  <c:v>1978</c:v>
                </c:pt>
                <c:pt idx="6">
                  <c:v>1979</c:v>
                </c:pt>
                <c:pt idx="7">
                  <c:v>1980</c:v>
                </c:pt>
                <c:pt idx="8">
                  <c:v>1981</c:v>
                </c:pt>
                <c:pt idx="9">
                  <c:v>1982</c:v>
                </c:pt>
                <c:pt idx="10">
                  <c:v>1983</c:v>
                </c:pt>
                <c:pt idx="11">
                  <c:v>1984</c:v>
                </c:pt>
                <c:pt idx="12">
                  <c:v>1985</c:v>
                </c:pt>
                <c:pt idx="13">
                  <c:v>1986</c:v>
                </c:pt>
                <c:pt idx="14">
                  <c:v>1987</c:v>
                </c:pt>
                <c:pt idx="15">
                  <c:v>1988</c:v>
                </c:pt>
                <c:pt idx="16">
                  <c:v>1989</c:v>
                </c:pt>
                <c:pt idx="17">
                  <c:v>1990</c:v>
                </c:pt>
                <c:pt idx="18">
                  <c:v>1991</c:v>
                </c:pt>
                <c:pt idx="19">
                  <c:v>1992</c:v>
                </c:pt>
                <c:pt idx="20">
                  <c:v>1993</c:v>
                </c:pt>
                <c:pt idx="21">
                  <c:v>1994</c:v>
                </c:pt>
                <c:pt idx="22">
                  <c:v>1995</c:v>
                </c:pt>
                <c:pt idx="23">
                  <c:v>1996</c:v>
                </c:pt>
                <c:pt idx="24">
                  <c:v>1997</c:v>
                </c:pt>
                <c:pt idx="25">
                  <c:v>1998</c:v>
                </c:pt>
                <c:pt idx="26">
                  <c:v>1999</c:v>
                </c:pt>
                <c:pt idx="27">
                  <c:v>2000</c:v>
                </c:pt>
                <c:pt idx="28">
                  <c:v>2001</c:v>
                </c:pt>
                <c:pt idx="29">
                  <c:v>2002</c:v>
                </c:pt>
                <c:pt idx="30">
                  <c:v>2003</c:v>
                </c:pt>
                <c:pt idx="31">
                  <c:v>2004</c:v>
                </c:pt>
                <c:pt idx="32">
                  <c:v>2005</c:v>
                </c:pt>
                <c:pt idx="33">
                  <c:v>2006</c:v>
                </c:pt>
                <c:pt idx="34">
                  <c:v>2007</c:v>
                </c:pt>
                <c:pt idx="35">
                  <c:v>2008</c:v>
                </c:pt>
                <c:pt idx="36">
                  <c:v>2009</c:v>
                </c:pt>
                <c:pt idx="37">
                  <c:v>2010</c:v>
                </c:pt>
              </c:strCache>
            </c:strRef>
          </c:cat>
          <c:val>
            <c:numRef>
              <c:f>Sheet12!$N$7:$N$44</c:f>
              <c:numCache>
                <c:formatCode>General</c:formatCode>
                <c:ptCount val="38"/>
                <c:pt idx="14">
                  <c:v>59</c:v>
                </c:pt>
                <c:pt idx="19">
                  <c:v>77</c:v>
                </c:pt>
                <c:pt idx="24">
                  <c:v>102</c:v>
                </c:pt>
              </c:numCache>
            </c:numRef>
          </c:val>
          <c:smooth val="0"/>
        </c:ser>
        <c:ser>
          <c:idx val="5"/>
          <c:order val="5"/>
          <c:tx>
            <c:strRef>
              <c:f>Sheet12!$O$6</c:f>
              <c:strCache>
                <c:ptCount val="1"/>
                <c:pt idx="0">
                  <c:v>ZDHS 99 (Ind.)</c:v>
                </c:pt>
              </c:strCache>
            </c:strRef>
          </c:tx>
          <c:spPr>
            <a:ln w="31750" cap="rnd">
              <a:solidFill>
                <a:schemeClr val="accent6"/>
              </a:solidFill>
              <a:round/>
            </a:ln>
            <a:effectLst/>
          </c:spPr>
          <c:marker>
            <c:symbol val="circle"/>
            <c:size val="17"/>
            <c:spPr>
              <a:solidFill>
                <a:schemeClr val="accent6"/>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Sheet12!$I$7:$I$44</c:f>
              <c:strCache>
                <c:ptCount val="38"/>
                <c:pt idx="0">
                  <c:v>1973</c:v>
                </c:pt>
                <c:pt idx="1">
                  <c:v>1974</c:v>
                </c:pt>
                <c:pt idx="2">
                  <c:v>1975</c:v>
                </c:pt>
                <c:pt idx="3">
                  <c:v>1976</c:v>
                </c:pt>
                <c:pt idx="4">
                  <c:v>1977</c:v>
                </c:pt>
                <c:pt idx="5">
                  <c:v>1978</c:v>
                </c:pt>
                <c:pt idx="6">
                  <c:v>1979</c:v>
                </c:pt>
                <c:pt idx="7">
                  <c:v>1980</c:v>
                </c:pt>
                <c:pt idx="8">
                  <c:v>1981</c:v>
                </c:pt>
                <c:pt idx="9">
                  <c:v>1982</c:v>
                </c:pt>
                <c:pt idx="10">
                  <c:v>1983</c:v>
                </c:pt>
                <c:pt idx="11">
                  <c:v>1984</c:v>
                </c:pt>
                <c:pt idx="12">
                  <c:v>1985</c:v>
                </c:pt>
                <c:pt idx="13">
                  <c:v>1986</c:v>
                </c:pt>
                <c:pt idx="14">
                  <c:v>1987</c:v>
                </c:pt>
                <c:pt idx="15">
                  <c:v>1988</c:v>
                </c:pt>
                <c:pt idx="16">
                  <c:v>1989</c:v>
                </c:pt>
                <c:pt idx="17">
                  <c:v>1990</c:v>
                </c:pt>
                <c:pt idx="18">
                  <c:v>1991</c:v>
                </c:pt>
                <c:pt idx="19">
                  <c:v>1992</c:v>
                </c:pt>
                <c:pt idx="20">
                  <c:v>1993</c:v>
                </c:pt>
                <c:pt idx="21">
                  <c:v>1994</c:v>
                </c:pt>
                <c:pt idx="22">
                  <c:v>1995</c:v>
                </c:pt>
                <c:pt idx="23">
                  <c:v>1996</c:v>
                </c:pt>
                <c:pt idx="24">
                  <c:v>1997</c:v>
                </c:pt>
                <c:pt idx="25">
                  <c:v>1998</c:v>
                </c:pt>
                <c:pt idx="26">
                  <c:v>1999</c:v>
                </c:pt>
                <c:pt idx="27">
                  <c:v>2000</c:v>
                </c:pt>
                <c:pt idx="28">
                  <c:v>2001</c:v>
                </c:pt>
                <c:pt idx="29">
                  <c:v>2002</c:v>
                </c:pt>
                <c:pt idx="30">
                  <c:v>2003</c:v>
                </c:pt>
                <c:pt idx="31">
                  <c:v>2004</c:v>
                </c:pt>
                <c:pt idx="32">
                  <c:v>2005</c:v>
                </c:pt>
                <c:pt idx="33">
                  <c:v>2006</c:v>
                </c:pt>
                <c:pt idx="34">
                  <c:v>2007</c:v>
                </c:pt>
                <c:pt idx="35">
                  <c:v>2008</c:v>
                </c:pt>
                <c:pt idx="36">
                  <c:v>2009</c:v>
                </c:pt>
                <c:pt idx="37">
                  <c:v>2010</c:v>
                </c:pt>
              </c:strCache>
            </c:strRef>
          </c:cat>
          <c:val>
            <c:numRef>
              <c:f>Sheet12!$O$7:$O$44</c:f>
              <c:numCache>
                <c:formatCode>General</c:formatCode>
                <c:ptCount val="38"/>
                <c:pt idx="11">
                  <c:v>90</c:v>
                </c:pt>
                <c:pt idx="14">
                  <c:v>81</c:v>
                </c:pt>
                <c:pt idx="16">
                  <c:v>70</c:v>
                </c:pt>
                <c:pt idx="19">
                  <c:v>77</c:v>
                </c:pt>
                <c:pt idx="21">
                  <c:v>108</c:v>
                </c:pt>
              </c:numCache>
            </c:numRef>
          </c:val>
          <c:smooth val="0"/>
        </c:ser>
        <c:ser>
          <c:idx val="6"/>
          <c:order val="6"/>
          <c:tx>
            <c:strRef>
              <c:f>Sheet12!$P$6</c:f>
              <c:strCache>
                <c:ptCount val="1"/>
                <c:pt idx="0">
                  <c:v>ZDHS 2005-6 (Dir.)</c:v>
                </c:pt>
              </c:strCache>
            </c:strRef>
          </c:tx>
          <c:spPr>
            <a:ln w="31750" cap="rnd">
              <a:solidFill>
                <a:schemeClr val="accent1">
                  <a:lumMod val="60000"/>
                </a:schemeClr>
              </a:solidFill>
              <a:round/>
            </a:ln>
            <a:effectLst/>
          </c:spPr>
          <c:marker>
            <c:symbol val="circle"/>
            <c:size val="17"/>
            <c:spPr>
              <a:solidFill>
                <a:schemeClr val="accent1">
                  <a:lumMod val="60000"/>
                </a:schemeClr>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Sheet12!$I$7:$I$44</c:f>
              <c:strCache>
                <c:ptCount val="38"/>
                <c:pt idx="0">
                  <c:v>1973</c:v>
                </c:pt>
                <c:pt idx="1">
                  <c:v>1974</c:v>
                </c:pt>
                <c:pt idx="2">
                  <c:v>1975</c:v>
                </c:pt>
                <c:pt idx="3">
                  <c:v>1976</c:v>
                </c:pt>
                <c:pt idx="4">
                  <c:v>1977</c:v>
                </c:pt>
                <c:pt idx="5">
                  <c:v>1978</c:v>
                </c:pt>
                <c:pt idx="6">
                  <c:v>1979</c:v>
                </c:pt>
                <c:pt idx="7">
                  <c:v>1980</c:v>
                </c:pt>
                <c:pt idx="8">
                  <c:v>1981</c:v>
                </c:pt>
                <c:pt idx="9">
                  <c:v>1982</c:v>
                </c:pt>
                <c:pt idx="10">
                  <c:v>1983</c:v>
                </c:pt>
                <c:pt idx="11">
                  <c:v>1984</c:v>
                </c:pt>
                <c:pt idx="12">
                  <c:v>1985</c:v>
                </c:pt>
                <c:pt idx="13">
                  <c:v>1986</c:v>
                </c:pt>
                <c:pt idx="14">
                  <c:v>1987</c:v>
                </c:pt>
                <c:pt idx="15">
                  <c:v>1988</c:v>
                </c:pt>
                <c:pt idx="16">
                  <c:v>1989</c:v>
                </c:pt>
                <c:pt idx="17">
                  <c:v>1990</c:v>
                </c:pt>
                <c:pt idx="18">
                  <c:v>1991</c:v>
                </c:pt>
                <c:pt idx="19">
                  <c:v>1992</c:v>
                </c:pt>
                <c:pt idx="20">
                  <c:v>1993</c:v>
                </c:pt>
                <c:pt idx="21">
                  <c:v>1994</c:v>
                </c:pt>
                <c:pt idx="22">
                  <c:v>1995</c:v>
                </c:pt>
                <c:pt idx="23">
                  <c:v>1996</c:v>
                </c:pt>
                <c:pt idx="24">
                  <c:v>1997</c:v>
                </c:pt>
                <c:pt idx="25">
                  <c:v>1998</c:v>
                </c:pt>
                <c:pt idx="26">
                  <c:v>1999</c:v>
                </c:pt>
                <c:pt idx="27">
                  <c:v>2000</c:v>
                </c:pt>
                <c:pt idx="28">
                  <c:v>2001</c:v>
                </c:pt>
                <c:pt idx="29">
                  <c:v>2002</c:v>
                </c:pt>
                <c:pt idx="30">
                  <c:v>2003</c:v>
                </c:pt>
                <c:pt idx="31">
                  <c:v>2004</c:v>
                </c:pt>
                <c:pt idx="32">
                  <c:v>2005</c:v>
                </c:pt>
                <c:pt idx="33">
                  <c:v>2006</c:v>
                </c:pt>
                <c:pt idx="34">
                  <c:v>2007</c:v>
                </c:pt>
                <c:pt idx="35">
                  <c:v>2008</c:v>
                </c:pt>
                <c:pt idx="36">
                  <c:v>2009</c:v>
                </c:pt>
                <c:pt idx="37">
                  <c:v>2010</c:v>
                </c:pt>
              </c:strCache>
            </c:strRef>
          </c:cat>
          <c:val>
            <c:numRef>
              <c:f>Sheet12!$P$7:$P$44</c:f>
              <c:numCache>
                <c:formatCode>General</c:formatCode>
                <c:ptCount val="38"/>
                <c:pt idx="20">
                  <c:v>58</c:v>
                </c:pt>
                <c:pt idx="25">
                  <c:v>54</c:v>
                </c:pt>
                <c:pt idx="30">
                  <c:v>82</c:v>
                </c:pt>
              </c:numCache>
            </c:numRef>
          </c:val>
          <c:smooth val="0"/>
        </c:ser>
        <c:ser>
          <c:idx val="7"/>
          <c:order val="7"/>
          <c:tx>
            <c:strRef>
              <c:f>Sheet12!$Q$6</c:f>
              <c:strCache>
                <c:ptCount val="1"/>
                <c:pt idx="0">
                  <c:v>ZDHS 2005-6 (Ind.)</c:v>
                </c:pt>
              </c:strCache>
            </c:strRef>
          </c:tx>
          <c:spPr>
            <a:ln w="31750" cap="rnd">
              <a:solidFill>
                <a:schemeClr val="accent2">
                  <a:lumMod val="60000"/>
                </a:schemeClr>
              </a:solidFill>
              <a:round/>
            </a:ln>
            <a:effectLst/>
          </c:spPr>
          <c:marker>
            <c:symbol val="circle"/>
            <c:size val="17"/>
            <c:spPr>
              <a:solidFill>
                <a:schemeClr val="accent2">
                  <a:lumMod val="60000"/>
                </a:schemeClr>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Sheet12!$I$7:$I$44</c:f>
              <c:strCache>
                <c:ptCount val="38"/>
                <c:pt idx="0">
                  <c:v>1973</c:v>
                </c:pt>
                <c:pt idx="1">
                  <c:v>1974</c:v>
                </c:pt>
                <c:pt idx="2">
                  <c:v>1975</c:v>
                </c:pt>
                <c:pt idx="3">
                  <c:v>1976</c:v>
                </c:pt>
                <c:pt idx="4">
                  <c:v>1977</c:v>
                </c:pt>
                <c:pt idx="5">
                  <c:v>1978</c:v>
                </c:pt>
                <c:pt idx="6">
                  <c:v>1979</c:v>
                </c:pt>
                <c:pt idx="7">
                  <c:v>1980</c:v>
                </c:pt>
                <c:pt idx="8">
                  <c:v>1981</c:v>
                </c:pt>
                <c:pt idx="9">
                  <c:v>1982</c:v>
                </c:pt>
                <c:pt idx="10">
                  <c:v>1983</c:v>
                </c:pt>
                <c:pt idx="11">
                  <c:v>1984</c:v>
                </c:pt>
                <c:pt idx="12">
                  <c:v>1985</c:v>
                </c:pt>
                <c:pt idx="13">
                  <c:v>1986</c:v>
                </c:pt>
                <c:pt idx="14">
                  <c:v>1987</c:v>
                </c:pt>
                <c:pt idx="15">
                  <c:v>1988</c:v>
                </c:pt>
                <c:pt idx="16">
                  <c:v>1989</c:v>
                </c:pt>
                <c:pt idx="17">
                  <c:v>1990</c:v>
                </c:pt>
                <c:pt idx="18">
                  <c:v>1991</c:v>
                </c:pt>
                <c:pt idx="19">
                  <c:v>1992</c:v>
                </c:pt>
                <c:pt idx="20">
                  <c:v>1993</c:v>
                </c:pt>
                <c:pt idx="21">
                  <c:v>1994</c:v>
                </c:pt>
                <c:pt idx="22">
                  <c:v>1995</c:v>
                </c:pt>
                <c:pt idx="23">
                  <c:v>1996</c:v>
                </c:pt>
                <c:pt idx="24">
                  <c:v>1997</c:v>
                </c:pt>
                <c:pt idx="25">
                  <c:v>1998</c:v>
                </c:pt>
                <c:pt idx="26">
                  <c:v>1999</c:v>
                </c:pt>
                <c:pt idx="27">
                  <c:v>2000</c:v>
                </c:pt>
                <c:pt idx="28">
                  <c:v>2001</c:v>
                </c:pt>
                <c:pt idx="29">
                  <c:v>2002</c:v>
                </c:pt>
                <c:pt idx="30">
                  <c:v>2003</c:v>
                </c:pt>
                <c:pt idx="31">
                  <c:v>2004</c:v>
                </c:pt>
                <c:pt idx="32">
                  <c:v>2005</c:v>
                </c:pt>
                <c:pt idx="33">
                  <c:v>2006</c:v>
                </c:pt>
                <c:pt idx="34">
                  <c:v>2007</c:v>
                </c:pt>
                <c:pt idx="35">
                  <c:v>2008</c:v>
                </c:pt>
                <c:pt idx="36">
                  <c:v>2009</c:v>
                </c:pt>
                <c:pt idx="37">
                  <c:v>2010</c:v>
                </c:pt>
              </c:strCache>
            </c:strRef>
          </c:cat>
          <c:val>
            <c:numRef>
              <c:f>Sheet12!$Q$7:$Q$44</c:f>
              <c:numCache>
                <c:formatCode>General</c:formatCode>
                <c:ptCount val="38"/>
                <c:pt idx="16">
                  <c:v>79</c:v>
                </c:pt>
                <c:pt idx="19">
                  <c:v>68</c:v>
                </c:pt>
                <c:pt idx="22">
                  <c:v>49</c:v>
                </c:pt>
                <c:pt idx="25">
                  <c:v>63</c:v>
                </c:pt>
                <c:pt idx="27">
                  <c:v>49</c:v>
                </c:pt>
              </c:numCache>
            </c:numRef>
          </c:val>
          <c:smooth val="0"/>
        </c:ser>
        <c:ser>
          <c:idx val="8"/>
          <c:order val="8"/>
          <c:tx>
            <c:strRef>
              <c:f>Sheet12!$R$6</c:f>
              <c:strCache>
                <c:ptCount val="1"/>
                <c:pt idx="0">
                  <c:v>2012 Census (Ind.)</c:v>
                </c:pt>
              </c:strCache>
            </c:strRef>
          </c:tx>
          <c:spPr>
            <a:ln w="31750" cap="rnd">
              <a:solidFill>
                <a:schemeClr val="accent3">
                  <a:lumMod val="60000"/>
                </a:schemeClr>
              </a:solidFill>
              <a:round/>
            </a:ln>
            <a:effectLst/>
          </c:spPr>
          <c:marker>
            <c:symbol val="circle"/>
            <c:size val="17"/>
            <c:spPr>
              <a:solidFill>
                <a:schemeClr val="accent3">
                  <a:lumMod val="60000"/>
                </a:schemeClr>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Sheet12!$I$7:$I$44</c:f>
              <c:strCache>
                <c:ptCount val="38"/>
                <c:pt idx="0">
                  <c:v>1973</c:v>
                </c:pt>
                <c:pt idx="1">
                  <c:v>1974</c:v>
                </c:pt>
                <c:pt idx="2">
                  <c:v>1975</c:v>
                </c:pt>
                <c:pt idx="3">
                  <c:v>1976</c:v>
                </c:pt>
                <c:pt idx="4">
                  <c:v>1977</c:v>
                </c:pt>
                <c:pt idx="5">
                  <c:v>1978</c:v>
                </c:pt>
                <c:pt idx="6">
                  <c:v>1979</c:v>
                </c:pt>
                <c:pt idx="7">
                  <c:v>1980</c:v>
                </c:pt>
                <c:pt idx="8">
                  <c:v>1981</c:v>
                </c:pt>
                <c:pt idx="9">
                  <c:v>1982</c:v>
                </c:pt>
                <c:pt idx="10">
                  <c:v>1983</c:v>
                </c:pt>
                <c:pt idx="11">
                  <c:v>1984</c:v>
                </c:pt>
                <c:pt idx="12">
                  <c:v>1985</c:v>
                </c:pt>
                <c:pt idx="13">
                  <c:v>1986</c:v>
                </c:pt>
                <c:pt idx="14">
                  <c:v>1987</c:v>
                </c:pt>
                <c:pt idx="15">
                  <c:v>1988</c:v>
                </c:pt>
                <c:pt idx="16">
                  <c:v>1989</c:v>
                </c:pt>
                <c:pt idx="17">
                  <c:v>1990</c:v>
                </c:pt>
                <c:pt idx="18">
                  <c:v>1991</c:v>
                </c:pt>
                <c:pt idx="19">
                  <c:v>1992</c:v>
                </c:pt>
                <c:pt idx="20">
                  <c:v>1993</c:v>
                </c:pt>
                <c:pt idx="21">
                  <c:v>1994</c:v>
                </c:pt>
                <c:pt idx="22">
                  <c:v>1995</c:v>
                </c:pt>
                <c:pt idx="23">
                  <c:v>1996</c:v>
                </c:pt>
                <c:pt idx="24">
                  <c:v>1997</c:v>
                </c:pt>
                <c:pt idx="25">
                  <c:v>1998</c:v>
                </c:pt>
                <c:pt idx="26">
                  <c:v>1999</c:v>
                </c:pt>
                <c:pt idx="27">
                  <c:v>2000</c:v>
                </c:pt>
                <c:pt idx="28">
                  <c:v>2001</c:v>
                </c:pt>
                <c:pt idx="29">
                  <c:v>2002</c:v>
                </c:pt>
                <c:pt idx="30">
                  <c:v>2003</c:v>
                </c:pt>
                <c:pt idx="31">
                  <c:v>2004</c:v>
                </c:pt>
                <c:pt idx="32">
                  <c:v>2005</c:v>
                </c:pt>
                <c:pt idx="33">
                  <c:v>2006</c:v>
                </c:pt>
                <c:pt idx="34">
                  <c:v>2007</c:v>
                </c:pt>
                <c:pt idx="35">
                  <c:v>2008</c:v>
                </c:pt>
                <c:pt idx="36">
                  <c:v>2009</c:v>
                </c:pt>
                <c:pt idx="37">
                  <c:v>2010</c:v>
                </c:pt>
              </c:strCache>
            </c:strRef>
          </c:cat>
          <c:val>
            <c:numRef>
              <c:f>Sheet12!$R$7:$R$44</c:f>
              <c:numCache>
                <c:formatCode>General</c:formatCode>
                <c:ptCount val="38"/>
                <c:pt idx="27">
                  <c:v>72</c:v>
                </c:pt>
                <c:pt idx="30">
                  <c:v>74</c:v>
                </c:pt>
                <c:pt idx="32">
                  <c:v>72</c:v>
                </c:pt>
                <c:pt idx="35">
                  <c:v>75</c:v>
                </c:pt>
                <c:pt idx="37">
                  <c:v>80</c:v>
                </c:pt>
              </c:numCache>
            </c:numRef>
          </c:val>
          <c:smooth val="0"/>
        </c:ser>
        <c:dLbls>
          <c:dLblPos val="ctr"/>
          <c:showLegendKey val="0"/>
          <c:showVal val="1"/>
          <c:showCatName val="0"/>
          <c:showSerName val="0"/>
          <c:showPercent val="0"/>
          <c:showBubbleSize val="0"/>
        </c:dLbls>
        <c:marker val="1"/>
        <c:smooth val="0"/>
        <c:axId val="978102080"/>
        <c:axId val="978056160"/>
      </c:lineChart>
      <c:catAx>
        <c:axId val="978102080"/>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Year </a:t>
                </a:r>
              </a:p>
            </c:rich>
          </c:tx>
          <c:overlay val="0"/>
          <c:spPr>
            <a:noFill/>
            <a:ln>
              <a:noFill/>
            </a:ln>
            <a:effectLst/>
          </c:spPr>
        </c:title>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00" b="0" i="0" u="none" strike="noStrike" kern="1200" cap="all" baseline="0">
                <a:solidFill>
                  <a:schemeClr val="dk1">
                    <a:lumMod val="75000"/>
                    <a:lumOff val="25000"/>
                  </a:schemeClr>
                </a:solidFill>
                <a:latin typeface="+mn-lt"/>
                <a:ea typeface="+mn-ea"/>
                <a:cs typeface="+mn-cs"/>
              </a:defRPr>
            </a:pPr>
            <a:endParaRPr lang="en-US"/>
          </a:p>
        </c:txPr>
        <c:crossAx val="978056160"/>
        <c:crosses val="autoZero"/>
        <c:auto val="1"/>
        <c:lblAlgn val="ctr"/>
        <c:lblOffset val="100"/>
        <c:noMultiLvlLbl val="0"/>
      </c:catAx>
      <c:valAx>
        <c:axId val="97805616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Under 5 Mortality</a:t>
                </a:r>
              </a:p>
            </c:rich>
          </c:tx>
          <c:overlay val="0"/>
          <c:spPr>
            <a:noFill/>
            <a:ln>
              <a:noFill/>
            </a:ln>
            <a:effectLst/>
          </c:spPr>
        </c:title>
        <c:numFmt formatCode="General" sourceLinked="1"/>
        <c:majorTickMark val="none"/>
        <c:minorTickMark val="none"/>
        <c:tickLblPos val="nextTo"/>
        <c:crossAx val="97810208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Sheet4!$J$2</c:f>
              <c:strCache>
                <c:ptCount val="1"/>
                <c:pt idx="0">
                  <c:v>U5MR</c:v>
                </c:pt>
              </c:strCache>
            </c:strRef>
          </c:tx>
          <c:spPr>
            <a:solidFill>
              <a:schemeClr val="accent1"/>
            </a:solidFill>
            <a:ln>
              <a:noFill/>
            </a:ln>
            <a:effectLst/>
          </c:spPr>
          <c:invertIfNegative val="0"/>
          <c:dPt>
            <c:idx val="0"/>
            <c:invertIfNegative val="0"/>
            <c:bubble3D val="0"/>
            <c:spPr>
              <a:solidFill>
                <a:srgbClr val="FF0000"/>
              </a:solidFill>
              <a:ln>
                <a:noFill/>
              </a:ln>
              <a:effectLst/>
            </c:spPr>
          </c:dPt>
          <c:dPt>
            <c:idx val="5"/>
            <c:invertIfNegative val="0"/>
            <c:bubble3D val="0"/>
            <c:spPr>
              <a:solidFill>
                <a:schemeClr val="accent2"/>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Sheet4!$I$3:$I$13</c:f>
              <c:strCache>
                <c:ptCount val="11"/>
                <c:pt idx="0">
                  <c:v>Zimbabwe MDG Target</c:v>
                </c:pt>
                <c:pt idx="1">
                  <c:v>Namibia</c:v>
                </c:pt>
                <c:pt idx="2">
                  <c:v>South Africa</c:v>
                </c:pt>
                <c:pt idx="3">
                  <c:v>Botswana</c:v>
                </c:pt>
                <c:pt idx="4">
                  <c:v>Malawi</c:v>
                </c:pt>
                <c:pt idx="5">
                  <c:v>Zimbabwe 2008</c:v>
                </c:pt>
                <c:pt idx="6">
                  <c:v>Swaziland</c:v>
                </c:pt>
                <c:pt idx="7">
                  <c:v>Zambia</c:v>
                </c:pt>
                <c:pt idx="8">
                  <c:v>Mozambique</c:v>
                </c:pt>
                <c:pt idx="9">
                  <c:v>Lesotho</c:v>
                </c:pt>
                <c:pt idx="10">
                  <c:v>Angola</c:v>
                </c:pt>
              </c:strCache>
            </c:strRef>
          </c:cat>
          <c:val>
            <c:numRef>
              <c:f>Sheet4!$J$3:$J$13</c:f>
              <c:numCache>
                <c:formatCode>General</c:formatCode>
                <c:ptCount val="11"/>
                <c:pt idx="0">
                  <c:v>25</c:v>
                </c:pt>
                <c:pt idx="1">
                  <c:v>39</c:v>
                </c:pt>
                <c:pt idx="2">
                  <c:v>45</c:v>
                </c:pt>
                <c:pt idx="3">
                  <c:v>53</c:v>
                </c:pt>
                <c:pt idx="4">
                  <c:v>71</c:v>
                </c:pt>
                <c:pt idx="5">
                  <c:v>74</c:v>
                </c:pt>
                <c:pt idx="6">
                  <c:v>80</c:v>
                </c:pt>
                <c:pt idx="7">
                  <c:v>89</c:v>
                </c:pt>
                <c:pt idx="8">
                  <c:v>90</c:v>
                </c:pt>
                <c:pt idx="9">
                  <c:v>100</c:v>
                </c:pt>
                <c:pt idx="10">
                  <c:v>164</c:v>
                </c:pt>
              </c:numCache>
            </c:numRef>
          </c:val>
        </c:ser>
        <c:dLbls>
          <c:showLegendKey val="0"/>
          <c:showVal val="0"/>
          <c:showCatName val="0"/>
          <c:showSerName val="0"/>
          <c:showPercent val="0"/>
          <c:showBubbleSize val="0"/>
        </c:dLbls>
        <c:gapWidth val="182"/>
        <c:axId val="978062880"/>
        <c:axId val="978066240"/>
      </c:barChart>
      <c:catAx>
        <c:axId val="9780628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8066240"/>
        <c:crosses val="autoZero"/>
        <c:auto val="1"/>
        <c:lblAlgn val="ctr"/>
        <c:lblOffset val="100"/>
        <c:noMultiLvlLbl val="0"/>
      </c:catAx>
      <c:valAx>
        <c:axId val="9780662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8062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en-US" sz="800"/>
              <a:t>Under</a:t>
            </a:r>
            <a:r>
              <a:rPr lang="en-US" sz="800" baseline="0"/>
              <a:t> Five</a:t>
            </a:r>
            <a:r>
              <a:rPr lang="en-US" sz="800"/>
              <a:t> Mortality by Disability Status of Mother</a:t>
            </a:r>
          </a:p>
        </c:rich>
      </c:tx>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Sheet6!$D$42:$D$44</c:f>
              <c:strCache>
                <c:ptCount val="3"/>
                <c:pt idx="0">
                  <c:v>With disability</c:v>
                </c:pt>
                <c:pt idx="1">
                  <c:v>Without Disability</c:v>
                </c:pt>
                <c:pt idx="2">
                  <c:v>Total</c:v>
                </c:pt>
              </c:strCache>
            </c:strRef>
          </c:cat>
          <c:val>
            <c:numRef>
              <c:f>Sheet6!$E$42:$E$44</c:f>
              <c:numCache>
                <c:formatCode>General</c:formatCode>
                <c:ptCount val="3"/>
                <c:pt idx="0">
                  <c:v>107</c:v>
                </c:pt>
                <c:pt idx="1">
                  <c:v>73</c:v>
                </c:pt>
                <c:pt idx="2">
                  <c:v>74</c:v>
                </c:pt>
              </c:numCache>
            </c:numRef>
          </c:val>
        </c:ser>
        <c:dLbls>
          <c:showLegendKey val="0"/>
          <c:showVal val="0"/>
          <c:showCatName val="0"/>
          <c:showSerName val="0"/>
          <c:showPercent val="0"/>
          <c:showBubbleSize val="0"/>
        </c:dLbls>
        <c:gapWidth val="182"/>
        <c:axId val="978107120"/>
        <c:axId val="978106000"/>
      </c:barChart>
      <c:catAx>
        <c:axId val="9781071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978106000"/>
        <c:crosses val="autoZero"/>
        <c:auto val="1"/>
        <c:lblAlgn val="ctr"/>
        <c:lblOffset val="100"/>
        <c:noMultiLvlLbl val="0"/>
      </c:catAx>
      <c:valAx>
        <c:axId val="9781060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9781071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Sheet7!$G$4</c:f>
              <c:strCache>
                <c:ptCount val="1"/>
                <c:pt idx="0">
                  <c:v>Life Expectancy at Birth</c:v>
                </c:pt>
              </c:strCache>
            </c:strRef>
          </c:tx>
          <c:spPr>
            <a:ln w="28575" cap="rnd">
              <a:solidFill>
                <a:schemeClr val="accent1"/>
              </a:solidFill>
              <a:round/>
            </a:ln>
            <a:effectLst/>
          </c:spPr>
          <c:marker>
            <c:symbol val="none"/>
          </c:marker>
          <c:dLbls>
            <c:dLbl>
              <c:idx val="2"/>
              <c:showLegendKey val="0"/>
              <c:showVal val="1"/>
              <c:showCatName val="0"/>
              <c:showSerName val="0"/>
              <c:showPercent val="0"/>
              <c:showBubbleSize val="0"/>
              <c:extLst>
                <c:ext xmlns:c15="http://schemas.microsoft.com/office/drawing/2012/chart" uri="{CE6537A1-D6FC-4f65-9D91-7224C49458BB}"/>
              </c:extLst>
            </c:dLbl>
            <c:dLbl>
              <c:idx val="12"/>
              <c:showLegendKey val="0"/>
              <c:showVal val="1"/>
              <c:showCatName val="0"/>
              <c:showSerName val="0"/>
              <c:showPercent val="0"/>
              <c:showBubbleSize val="0"/>
              <c:extLst>
                <c:ext xmlns:c15="http://schemas.microsoft.com/office/drawing/2012/chart" uri="{CE6537A1-D6FC-4f65-9D91-7224C49458BB}"/>
              </c:extLst>
            </c:dLbl>
            <c:dLbl>
              <c:idx val="22"/>
              <c:showLegendKey val="0"/>
              <c:showVal val="1"/>
              <c:showCatName val="0"/>
              <c:showSerName val="0"/>
              <c:showPercent val="0"/>
              <c:showBubbleSize val="0"/>
              <c:extLst>
                <c:ext xmlns:c15="http://schemas.microsoft.com/office/drawing/2012/chart" uri="{CE6537A1-D6FC-4f65-9D91-7224C49458BB}"/>
              </c:extLst>
            </c:dLbl>
            <c:dLbl>
              <c:idx val="32"/>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Sheet7!$F$5:$F$37</c:f>
              <c:strCache>
                <c:ptCount val="33"/>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Zimbabwe 2012 Census</c:v>
                </c:pt>
              </c:strCache>
            </c:strRef>
          </c:cat>
          <c:val>
            <c:numRef>
              <c:f>Sheet7!$G$5:$G$37</c:f>
              <c:numCache>
                <c:formatCode>General</c:formatCode>
                <c:ptCount val="33"/>
                <c:pt idx="0">
                  <c:v>59.38</c:v>
                </c:pt>
                <c:pt idx="1">
                  <c:v>59.94</c:v>
                </c:pt>
                <c:pt idx="2">
                  <c:v>60.5</c:v>
                </c:pt>
                <c:pt idx="3">
                  <c:v>60.9</c:v>
                </c:pt>
                <c:pt idx="4">
                  <c:v>61.22</c:v>
                </c:pt>
                <c:pt idx="5">
                  <c:v>61.37</c:v>
                </c:pt>
                <c:pt idx="6">
                  <c:v>61.34</c:v>
                </c:pt>
                <c:pt idx="7">
                  <c:v>61.11</c:v>
                </c:pt>
                <c:pt idx="8">
                  <c:v>60.67</c:v>
                </c:pt>
                <c:pt idx="9">
                  <c:v>60.03</c:v>
                </c:pt>
                <c:pt idx="10">
                  <c:v>59.13</c:v>
                </c:pt>
                <c:pt idx="11">
                  <c:v>57.96</c:v>
                </c:pt>
                <c:pt idx="12">
                  <c:v>57</c:v>
                </c:pt>
                <c:pt idx="13">
                  <c:v>54.92</c:v>
                </c:pt>
                <c:pt idx="14">
                  <c:v>53.16</c:v>
                </c:pt>
                <c:pt idx="15">
                  <c:v>51.34</c:v>
                </c:pt>
                <c:pt idx="16">
                  <c:v>49.52</c:v>
                </c:pt>
                <c:pt idx="17">
                  <c:v>47.8</c:v>
                </c:pt>
                <c:pt idx="18">
                  <c:v>46.24</c:v>
                </c:pt>
                <c:pt idx="19">
                  <c:v>44.93</c:v>
                </c:pt>
                <c:pt idx="20">
                  <c:v>43.92</c:v>
                </c:pt>
                <c:pt idx="21">
                  <c:v>43.25</c:v>
                </c:pt>
                <c:pt idx="22">
                  <c:v>42.9</c:v>
                </c:pt>
                <c:pt idx="23">
                  <c:v>42.87</c:v>
                </c:pt>
                <c:pt idx="24">
                  <c:v>43.18</c:v>
                </c:pt>
                <c:pt idx="25">
                  <c:v>43.89</c:v>
                </c:pt>
                <c:pt idx="26">
                  <c:v>45.08</c:v>
                </c:pt>
                <c:pt idx="27">
                  <c:v>46.75</c:v>
                </c:pt>
                <c:pt idx="28">
                  <c:v>48.81</c:v>
                </c:pt>
                <c:pt idx="29">
                  <c:v>51.15</c:v>
                </c:pt>
                <c:pt idx="30">
                  <c:v>53.59</c:v>
                </c:pt>
                <c:pt idx="31">
                  <c:v>59.55</c:v>
                </c:pt>
                <c:pt idx="32">
                  <c:v>60.7</c:v>
                </c:pt>
              </c:numCache>
            </c:numRef>
          </c:val>
          <c:smooth val="0"/>
        </c:ser>
        <c:dLbls>
          <c:showLegendKey val="0"/>
          <c:showVal val="0"/>
          <c:showCatName val="0"/>
          <c:showSerName val="0"/>
          <c:showPercent val="0"/>
          <c:showBubbleSize val="0"/>
        </c:dLbls>
        <c:smooth val="0"/>
        <c:axId val="978051680"/>
        <c:axId val="978075760"/>
      </c:lineChart>
      <c:catAx>
        <c:axId val="9780516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978075760"/>
        <c:crosses val="autoZero"/>
        <c:auto val="1"/>
        <c:lblAlgn val="ctr"/>
        <c:lblOffset val="100"/>
        <c:noMultiLvlLbl val="0"/>
      </c:catAx>
      <c:valAx>
        <c:axId val="9780757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Life Expectancy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8051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Sheet7!$J$42</c:f>
              <c:strCache>
                <c:ptCount val="1"/>
                <c:pt idx="0">
                  <c:v>Life Expectancy</c:v>
                </c:pt>
              </c:strCache>
            </c:strRef>
          </c:tx>
          <c:spPr>
            <a:solidFill>
              <a:schemeClr val="accent1"/>
            </a:solidFill>
            <a:ln>
              <a:noFill/>
            </a:ln>
            <a:effectLst/>
          </c:spPr>
          <c:invertIfNegative val="0"/>
          <c:dPt>
            <c:idx val="6"/>
            <c:invertIfNegative val="0"/>
            <c:bubble3D val="0"/>
            <c:spPr>
              <a:solidFill>
                <a:schemeClr val="accent4"/>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Sheet7!$I$43:$I$50</c:f>
              <c:strCache>
                <c:ptCount val="8"/>
                <c:pt idx="0">
                  <c:v>Botswana</c:v>
                </c:pt>
                <c:pt idx="1">
                  <c:v>Mozambique</c:v>
                </c:pt>
                <c:pt idx="2">
                  <c:v>Angola</c:v>
                </c:pt>
                <c:pt idx="3">
                  <c:v>Malawi</c:v>
                </c:pt>
                <c:pt idx="4">
                  <c:v>South Africa</c:v>
                </c:pt>
                <c:pt idx="5">
                  <c:v>Zambia</c:v>
                </c:pt>
                <c:pt idx="6">
                  <c:v>Zimbabwe</c:v>
                </c:pt>
                <c:pt idx="7">
                  <c:v>Namibia</c:v>
                </c:pt>
              </c:strCache>
            </c:strRef>
          </c:cat>
          <c:val>
            <c:numRef>
              <c:f>Sheet7!$J$43:$J$50</c:f>
              <c:numCache>
                <c:formatCode>General</c:formatCode>
                <c:ptCount val="8"/>
                <c:pt idx="0">
                  <c:v>47</c:v>
                </c:pt>
                <c:pt idx="1">
                  <c:v>49</c:v>
                </c:pt>
                <c:pt idx="2">
                  <c:v>51</c:v>
                </c:pt>
                <c:pt idx="3">
                  <c:v>54.7</c:v>
                </c:pt>
                <c:pt idx="4">
                  <c:v>56.1</c:v>
                </c:pt>
                <c:pt idx="5">
                  <c:v>57</c:v>
                </c:pt>
                <c:pt idx="6">
                  <c:v>60.7</c:v>
                </c:pt>
                <c:pt idx="7">
                  <c:v>63.9</c:v>
                </c:pt>
              </c:numCache>
            </c:numRef>
          </c:val>
        </c:ser>
        <c:dLbls>
          <c:showLegendKey val="0"/>
          <c:showVal val="0"/>
          <c:showCatName val="0"/>
          <c:showSerName val="0"/>
          <c:showPercent val="0"/>
          <c:showBubbleSize val="0"/>
        </c:dLbls>
        <c:gapWidth val="182"/>
        <c:axId val="978079680"/>
        <c:axId val="978077440"/>
      </c:barChart>
      <c:catAx>
        <c:axId val="97807968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Country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8077440"/>
        <c:crosses val="autoZero"/>
        <c:auto val="1"/>
        <c:lblAlgn val="ctr"/>
        <c:lblOffset val="100"/>
        <c:noMultiLvlLbl val="0"/>
      </c:catAx>
      <c:valAx>
        <c:axId val="97807744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Life Expectancy at Birth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8079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Sheet1!$AV$96</c:f>
              <c:strCache>
                <c:ptCount val="1"/>
                <c:pt idx="0">
                  <c:v>1982 Census</c:v>
                </c:pt>
              </c:strCache>
            </c:strRef>
          </c:tx>
          <c:spPr>
            <a:ln w="28575" cap="rnd">
              <a:solidFill>
                <a:schemeClr val="accent1"/>
              </a:solidFill>
              <a:round/>
            </a:ln>
            <a:effectLst/>
          </c:spPr>
          <c:marker>
            <c:symbol val="none"/>
          </c:marker>
          <c:cat>
            <c:strRef>
              <c:f>Sheet1!$AU$97:$AU$113</c:f>
              <c:strCache>
                <c:ptCount val="17"/>
                <c:pt idx="0">
                  <c:v>0</c:v>
                </c:pt>
                <c:pt idx="1">
                  <c:v>1-4</c:v>
                </c:pt>
                <c:pt idx="2">
                  <c:v>5-9</c:v>
                </c:pt>
                <c:pt idx="3">
                  <c:v>10-14</c:v>
                </c:pt>
                <c:pt idx="4">
                  <c:v>15-19</c:v>
                </c:pt>
                <c:pt idx="5">
                  <c:v>20-24</c:v>
                </c:pt>
                <c:pt idx="6">
                  <c:v>25-29</c:v>
                </c:pt>
                <c:pt idx="7">
                  <c:v>30-34</c:v>
                </c:pt>
                <c:pt idx="8">
                  <c:v>35-39</c:v>
                </c:pt>
                <c:pt idx="9">
                  <c:v>40-44</c:v>
                </c:pt>
                <c:pt idx="10">
                  <c:v>45-49</c:v>
                </c:pt>
                <c:pt idx="11">
                  <c:v>50-54</c:v>
                </c:pt>
                <c:pt idx="12">
                  <c:v>55-59</c:v>
                </c:pt>
                <c:pt idx="13">
                  <c:v>60-64</c:v>
                </c:pt>
                <c:pt idx="14">
                  <c:v>65-69</c:v>
                </c:pt>
                <c:pt idx="15">
                  <c:v>70-74</c:v>
                </c:pt>
                <c:pt idx="16">
                  <c:v>75+</c:v>
                </c:pt>
              </c:strCache>
            </c:strRef>
          </c:cat>
          <c:val>
            <c:numRef>
              <c:f>Sheet1!$AV$97:$AV$113</c:f>
              <c:numCache>
                <c:formatCode>#,##0</c:formatCode>
                <c:ptCount val="17"/>
                <c:pt idx="0">
                  <c:v>97.199688044373502</c:v>
                </c:pt>
                <c:pt idx="1">
                  <c:v>96.608062511099178</c:v>
                </c:pt>
                <c:pt idx="2">
                  <c:v>98.984175904239805</c:v>
                </c:pt>
                <c:pt idx="3">
                  <c:v>102.16396900203408</c:v>
                </c:pt>
                <c:pt idx="4">
                  <c:v>94.59755014746051</c:v>
                </c:pt>
                <c:pt idx="5">
                  <c:v>79.763291552117792</c:v>
                </c:pt>
                <c:pt idx="6">
                  <c:v>86.643272444423886</c:v>
                </c:pt>
                <c:pt idx="7">
                  <c:v>89.706017255613872</c:v>
                </c:pt>
                <c:pt idx="8">
                  <c:v>86.96052608422751</c:v>
                </c:pt>
                <c:pt idx="9">
                  <c:v>101.84726773219626</c:v>
                </c:pt>
                <c:pt idx="10">
                  <c:v>105.56866787842611</c:v>
                </c:pt>
                <c:pt idx="11">
                  <c:v>123.04726545766104</c:v>
                </c:pt>
                <c:pt idx="12">
                  <c:v>110.90040390109353</c:v>
                </c:pt>
                <c:pt idx="13">
                  <c:v>117.80830299507446</c:v>
                </c:pt>
                <c:pt idx="14">
                  <c:v>99.912659268393014</c:v>
                </c:pt>
                <c:pt idx="15">
                  <c:v>97.777632311065972</c:v>
                </c:pt>
                <c:pt idx="16">
                  <c:v>84.315358012040406</c:v>
                </c:pt>
              </c:numCache>
            </c:numRef>
          </c:val>
          <c:smooth val="0"/>
        </c:ser>
        <c:ser>
          <c:idx val="1"/>
          <c:order val="1"/>
          <c:tx>
            <c:strRef>
              <c:f>Sheet1!$AW$96</c:f>
              <c:strCache>
                <c:ptCount val="1"/>
                <c:pt idx="0">
                  <c:v>1992 Census</c:v>
                </c:pt>
              </c:strCache>
            </c:strRef>
          </c:tx>
          <c:spPr>
            <a:ln w="28575" cap="rnd">
              <a:solidFill>
                <a:schemeClr val="accent2"/>
              </a:solidFill>
              <a:round/>
            </a:ln>
            <a:effectLst/>
          </c:spPr>
          <c:marker>
            <c:symbol val="none"/>
          </c:marker>
          <c:cat>
            <c:strRef>
              <c:f>Sheet1!$AU$97:$AU$113</c:f>
              <c:strCache>
                <c:ptCount val="17"/>
                <c:pt idx="0">
                  <c:v>0</c:v>
                </c:pt>
                <c:pt idx="1">
                  <c:v>1-4</c:v>
                </c:pt>
                <c:pt idx="2">
                  <c:v>5-9</c:v>
                </c:pt>
                <c:pt idx="3">
                  <c:v>10-14</c:v>
                </c:pt>
                <c:pt idx="4">
                  <c:v>15-19</c:v>
                </c:pt>
                <c:pt idx="5">
                  <c:v>20-24</c:v>
                </c:pt>
                <c:pt idx="6">
                  <c:v>25-29</c:v>
                </c:pt>
                <c:pt idx="7">
                  <c:v>30-34</c:v>
                </c:pt>
                <c:pt idx="8">
                  <c:v>35-39</c:v>
                </c:pt>
                <c:pt idx="9">
                  <c:v>40-44</c:v>
                </c:pt>
                <c:pt idx="10">
                  <c:v>45-49</c:v>
                </c:pt>
                <c:pt idx="11">
                  <c:v>50-54</c:v>
                </c:pt>
                <c:pt idx="12">
                  <c:v>55-59</c:v>
                </c:pt>
                <c:pt idx="13">
                  <c:v>60-64</c:v>
                </c:pt>
                <c:pt idx="14">
                  <c:v>65-69</c:v>
                </c:pt>
                <c:pt idx="15">
                  <c:v>70-74</c:v>
                </c:pt>
                <c:pt idx="16">
                  <c:v>75+</c:v>
                </c:pt>
              </c:strCache>
            </c:strRef>
          </c:cat>
          <c:val>
            <c:numRef>
              <c:f>Sheet1!$AW$97:$AW$113</c:f>
              <c:numCache>
                <c:formatCode>#,##0</c:formatCode>
                <c:ptCount val="17"/>
                <c:pt idx="0">
                  <c:v>99.080984213442719</c:v>
                </c:pt>
                <c:pt idx="1">
                  <c:v>99.137234570414378</c:v>
                </c:pt>
                <c:pt idx="2">
                  <c:v>98.636172087499446</c:v>
                </c:pt>
                <c:pt idx="3">
                  <c:v>99.027141711299109</c:v>
                </c:pt>
                <c:pt idx="4">
                  <c:v>97.322652515212908</c:v>
                </c:pt>
                <c:pt idx="5">
                  <c:v>89.229206837945569</c:v>
                </c:pt>
                <c:pt idx="6">
                  <c:v>89.146127436317627</c:v>
                </c:pt>
                <c:pt idx="7">
                  <c:v>85.81001627943202</c:v>
                </c:pt>
                <c:pt idx="8">
                  <c:v>88.344929272450813</c:v>
                </c:pt>
                <c:pt idx="9">
                  <c:v>91.93434725903488</c:v>
                </c:pt>
                <c:pt idx="10">
                  <c:v>101.36665554999728</c:v>
                </c:pt>
                <c:pt idx="11">
                  <c:v>90.422689547413057</c:v>
                </c:pt>
                <c:pt idx="12">
                  <c:v>109.17918251496724</c:v>
                </c:pt>
                <c:pt idx="13">
                  <c:v>113.38714067622101</c:v>
                </c:pt>
                <c:pt idx="14">
                  <c:v>100.56387665198238</c:v>
                </c:pt>
                <c:pt idx="15">
                  <c:v>93.254215118597557</c:v>
                </c:pt>
                <c:pt idx="16">
                  <c:v>76.039921322940202</c:v>
                </c:pt>
              </c:numCache>
            </c:numRef>
          </c:val>
          <c:smooth val="0"/>
        </c:ser>
        <c:ser>
          <c:idx val="2"/>
          <c:order val="2"/>
          <c:tx>
            <c:strRef>
              <c:f>Sheet1!$AX$96</c:f>
              <c:strCache>
                <c:ptCount val="1"/>
                <c:pt idx="0">
                  <c:v>2002 Census</c:v>
                </c:pt>
              </c:strCache>
            </c:strRef>
          </c:tx>
          <c:spPr>
            <a:ln w="28575" cap="rnd">
              <a:solidFill>
                <a:schemeClr val="accent3"/>
              </a:solidFill>
              <a:round/>
            </a:ln>
            <a:effectLst/>
          </c:spPr>
          <c:marker>
            <c:symbol val="none"/>
          </c:marker>
          <c:cat>
            <c:strRef>
              <c:f>Sheet1!$AU$97:$AU$113</c:f>
              <c:strCache>
                <c:ptCount val="17"/>
                <c:pt idx="0">
                  <c:v>0</c:v>
                </c:pt>
                <c:pt idx="1">
                  <c:v>1-4</c:v>
                </c:pt>
                <c:pt idx="2">
                  <c:v>5-9</c:v>
                </c:pt>
                <c:pt idx="3">
                  <c:v>10-14</c:v>
                </c:pt>
                <c:pt idx="4">
                  <c:v>15-19</c:v>
                </c:pt>
                <c:pt idx="5">
                  <c:v>20-24</c:v>
                </c:pt>
                <c:pt idx="6">
                  <c:v>25-29</c:v>
                </c:pt>
                <c:pt idx="7">
                  <c:v>30-34</c:v>
                </c:pt>
                <c:pt idx="8">
                  <c:v>35-39</c:v>
                </c:pt>
                <c:pt idx="9">
                  <c:v>40-44</c:v>
                </c:pt>
                <c:pt idx="10">
                  <c:v>45-49</c:v>
                </c:pt>
                <c:pt idx="11">
                  <c:v>50-54</c:v>
                </c:pt>
                <c:pt idx="12">
                  <c:v>55-59</c:v>
                </c:pt>
                <c:pt idx="13">
                  <c:v>60-64</c:v>
                </c:pt>
                <c:pt idx="14">
                  <c:v>65-69</c:v>
                </c:pt>
                <c:pt idx="15">
                  <c:v>70-74</c:v>
                </c:pt>
                <c:pt idx="16">
                  <c:v>75+</c:v>
                </c:pt>
              </c:strCache>
            </c:strRef>
          </c:cat>
          <c:val>
            <c:numRef>
              <c:f>Sheet1!$AX$97:$AX$113</c:f>
              <c:numCache>
                <c:formatCode>#,##0</c:formatCode>
                <c:ptCount val="17"/>
                <c:pt idx="0">
                  <c:v>99.789469990701591</c:v>
                </c:pt>
                <c:pt idx="1">
                  <c:v>99.961822612347461</c:v>
                </c:pt>
                <c:pt idx="2">
                  <c:v>99.297605177993532</c:v>
                </c:pt>
                <c:pt idx="3">
                  <c:v>99.515417402127312</c:v>
                </c:pt>
                <c:pt idx="4">
                  <c:v>95.984979217875363</c:v>
                </c:pt>
                <c:pt idx="5">
                  <c:v>85.537716557924796</c:v>
                </c:pt>
                <c:pt idx="6">
                  <c:v>92.178360589651177</c:v>
                </c:pt>
                <c:pt idx="7">
                  <c:v>102.56733413484791</c:v>
                </c:pt>
                <c:pt idx="8">
                  <c:v>87.614009350433761</c:v>
                </c:pt>
                <c:pt idx="9">
                  <c:v>81.153604911502413</c:v>
                </c:pt>
                <c:pt idx="10">
                  <c:v>86.471225569862966</c:v>
                </c:pt>
                <c:pt idx="11">
                  <c:v>73.848311700256332</c:v>
                </c:pt>
                <c:pt idx="12">
                  <c:v>87.413033087259024</c:v>
                </c:pt>
                <c:pt idx="13">
                  <c:v>94.922876602564017</c:v>
                </c:pt>
                <c:pt idx="14">
                  <c:v>94.691655170389481</c:v>
                </c:pt>
                <c:pt idx="15">
                  <c:v>96.476852442290479</c:v>
                </c:pt>
                <c:pt idx="16">
                  <c:v>77.881576250525839</c:v>
                </c:pt>
              </c:numCache>
            </c:numRef>
          </c:val>
          <c:smooth val="0"/>
        </c:ser>
        <c:ser>
          <c:idx val="3"/>
          <c:order val="3"/>
          <c:tx>
            <c:strRef>
              <c:f>Sheet1!$AY$96</c:f>
              <c:strCache>
                <c:ptCount val="1"/>
                <c:pt idx="0">
                  <c:v>2012 Census</c:v>
                </c:pt>
              </c:strCache>
            </c:strRef>
          </c:tx>
          <c:spPr>
            <a:ln w="28575" cap="rnd">
              <a:solidFill>
                <a:schemeClr val="accent4"/>
              </a:solidFill>
              <a:round/>
            </a:ln>
            <a:effectLst/>
          </c:spPr>
          <c:marker>
            <c:symbol val="none"/>
          </c:marker>
          <c:cat>
            <c:strRef>
              <c:f>Sheet1!$AU$97:$AU$113</c:f>
              <c:strCache>
                <c:ptCount val="17"/>
                <c:pt idx="0">
                  <c:v>0</c:v>
                </c:pt>
                <c:pt idx="1">
                  <c:v>1-4</c:v>
                </c:pt>
                <c:pt idx="2">
                  <c:v>5-9</c:v>
                </c:pt>
                <c:pt idx="3">
                  <c:v>10-14</c:v>
                </c:pt>
                <c:pt idx="4">
                  <c:v>15-19</c:v>
                </c:pt>
                <c:pt idx="5">
                  <c:v>20-24</c:v>
                </c:pt>
                <c:pt idx="6">
                  <c:v>25-29</c:v>
                </c:pt>
                <c:pt idx="7">
                  <c:v>30-34</c:v>
                </c:pt>
                <c:pt idx="8">
                  <c:v>35-39</c:v>
                </c:pt>
                <c:pt idx="9">
                  <c:v>40-44</c:v>
                </c:pt>
                <c:pt idx="10">
                  <c:v>45-49</c:v>
                </c:pt>
                <c:pt idx="11">
                  <c:v>50-54</c:v>
                </c:pt>
                <c:pt idx="12">
                  <c:v>55-59</c:v>
                </c:pt>
                <c:pt idx="13">
                  <c:v>60-64</c:v>
                </c:pt>
                <c:pt idx="14">
                  <c:v>65-69</c:v>
                </c:pt>
                <c:pt idx="15">
                  <c:v>70-74</c:v>
                </c:pt>
                <c:pt idx="16">
                  <c:v>75+</c:v>
                </c:pt>
              </c:strCache>
            </c:strRef>
          </c:cat>
          <c:val>
            <c:numRef>
              <c:f>Sheet1!$AY$97:$AY$113</c:f>
              <c:numCache>
                <c:formatCode>#,##0</c:formatCode>
                <c:ptCount val="17"/>
                <c:pt idx="0">
                  <c:v>99.221909250634468</c:v>
                </c:pt>
                <c:pt idx="1">
                  <c:v>99.505618439109938</c:v>
                </c:pt>
                <c:pt idx="2">
                  <c:v>99.034951337492288</c:v>
                </c:pt>
                <c:pt idx="3">
                  <c:v>100.3664922179865</c:v>
                </c:pt>
                <c:pt idx="4">
                  <c:v>98.072981276204672</c:v>
                </c:pt>
                <c:pt idx="5">
                  <c:v>83.308968964322773</c:v>
                </c:pt>
                <c:pt idx="6">
                  <c:v>84.9402610714681</c:v>
                </c:pt>
                <c:pt idx="7">
                  <c:v>92.92293966557726</c:v>
                </c:pt>
                <c:pt idx="8">
                  <c:v>96.838580233170518</c:v>
                </c:pt>
                <c:pt idx="9">
                  <c:v>104.70942353439902</c:v>
                </c:pt>
                <c:pt idx="10">
                  <c:v>86.325783787086124</c:v>
                </c:pt>
                <c:pt idx="11">
                  <c:v>65.67460546300417</c:v>
                </c:pt>
                <c:pt idx="12">
                  <c:v>74.735016745705963</c:v>
                </c:pt>
                <c:pt idx="13">
                  <c:v>74.464133111084209</c:v>
                </c:pt>
                <c:pt idx="14">
                  <c:v>77.652071960940603</c:v>
                </c:pt>
                <c:pt idx="15">
                  <c:v>82.440678621105917</c:v>
                </c:pt>
                <c:pt idx="16">
                  <c:v>74.176219550244085</c:v>
                </c:pt>
              </c:numCache>
            </c:numRef>
          </c:val>
          <c:smooth val="0"/>
        </c:ser>
        <c:dLbls>
          <c:showLegendKey val="0"/>
          <c:showVal val="0"/>
          <c:showCatName val="0"/>
          <c:showSerName val="0"/>
          <c:showPercent val="0"/>
          <c:showBubbleSize val="0"/>
        </c:dLbls>
        <c:smooth val="0"/>
        <c:axId val="978057840"/>
        <c:axId val="978098160"/>
      </c:lineChart>
      <c:catAx>
        <c:axId val="9780578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Age Group</a:t>
                </a:r>
              </a:p>
            </c:rich>
          </c:tx>
          <c:layout>
            <c:manualLayout>
              <c:xMode val="edge"/>
              <c:yMode val="edge"/>
              <c:x val="0.49259169526886087"/>
              <c:y val="0.8684677659054611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8098160"/>
        <c:crosses val="autoZero"/>
        <c:auto val="1"/>
        <c:lblAlgn val="ctr"/>
        <c:lblOffset val="100"/>
        <c:noMultiLvlLbl val="0"/>
      </c:catAx>
      <c:valAx>
        <c:axId val="978098160"/>
        <c:scaling>
          <c:orientation val="minMax"/>
          <c:max val="130"/>
          <c:min val="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Sex Ratio</a:t>
                </a:r>
              </a:p>
            </c:rich>
          </c:tx>
          <c:layout>
            <c:manualLayout>
              <c:xMode val="edge"/>
              <c:yMode val="edge"/>
              <c:x val="1.0683760683760691E-2"/>
              <c:y val="0.3045822564675588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8057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ED7D31">
                <a:lumMod val="60000"/>
                <a:lumOff val="4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Sheet3!$H$11:$H$14</c:f>
              <c:strCache>
                <c:ptCount val="4"/>
                <c:pt idx="0">
                  <c:v>1982</c:v>
                </c:pt>
                <c:pt idx="1">
                  <c:v>1992</c:v>
                </c:pt>
                <c:pt idx="2">
                  <c:v>2002</c:v>
                </c:pt>
                <c:pt idx="3">
                  <c:v>2012</c:v>
                </c:pt>
              </c:strCache>
            </c:strRef>
          </c:cat>
          <c:val>
            <c:numRef>
              <c:f>Sheet3!$I$11:$I$14</c:f>
              <c:numCache>
                <c:formatCode>General</c:formatCode>
                <c:ptCount val="4"/>
                <c:pt idx="0">
                  <c:v>7.5</c:v>
                </c:pt>
                <c:pt idx="1">
                  <c:v>10.4</c:v>
                </c:pt>
                <c:pt idx="2">
                  <c:v>11.6</c:v>
                </c:pt>
                <c:pt idx="3">
                  <c:v>13.1</c:v>
                </c:pt>
              </c:numCache>
            </c:numRef>
          </c:val>
        </c:ser>
        <c:dLbls>
          <c:showLegendKey val="0"/>
          <c:showVal val="0"/>
          <c:showCatName val="0"/>
          <c:showSerName val="0"/>
          <c:showPercent val="0"/>
          <c:showBubbleSize val="0"/>
        </c:dLbls>
        <c:gapWidth val="219"/>
        <c:overlap val="-27"/>
        <c:axId val="782270416"/>
        <c:axId val="782288896"/>
      </c:barChart>
      <c:catAx>
        <c:axId val="782270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2288896"/>
        <c:crosses val="autoZero"/>
        <c:auto val="1"/>
        <c:lblAlgn val="ctr"/>
        <c:lblOffset val="100"/>
        <c:noMultiLvlLbl val="0"/>
      </c:catAx>
      <c:valAx>
        <c:axId val="782288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2270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Sheet1!$G$270</c:f>
              <c:strCache>
                <c:ptCount val="1"/>
                <c:pt idx="0">
                  <c:v>&lt;15 years</c:v>
                </c:pt>
              </c:strCache>
            </c:strRef>
          </c:tx>
          <c:spPr>
            <a:solidFill>
              <a:schemeClr val="accent6">
                <a:lumMod val="75000"/>
              </a:schemeClr>
            </a:solidFill>
          </c:spPr>
          <c:invertIfNegative val="0"/>
          <c:dLbls>
            <c:spPr>
              <a:noFill/>
              <a:ln>
                <a:noFill/>
              </a:ln>
              <a:effectLst/>
            </c:spPr>
            <c:txPr>
              <a:bodyPr wrap="square" lIns="38100" tIns="19050" rIns="38100" bIns="19050" anchor="ctr">
                <a:spAutoFit/>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Sheet1!$H$269:$K$269</c:f>
              <c:strCache>
                <c:ptCount val="4"/>
                <c:pt idx="0">
                  <c:v>Zimbabwe</c:v>
                </c:pt>
                <c:pt idx="1">
                  <c:v>Southern Africa</c:v>
                </c:pt>
                <c:pt idx="2">
                  <c:v>Least Developed Countries</c:v>
                </c:pt>
                <c:pt idx="3">
                  <c:v>More Developed Countries</c:v>
                </c:pt>
              </c:strCache>
            </c:strRef>
          </c:cat>
          <c:val>
            <c:numRef>
              <c:f>Sheet1!$H$270:$K$270</c:f>
              <c:numCache>
                <c:formatCode>General</c:formatCode>
                <c:ptCount val="4"/>
                <c:pt idx="0">
                  <c:v>41</c:v>
                </c:pt>
                <c:pt idx="1">
                  <c:v>32</c:v>
                </c:pt>
                <c:pt idx="2">
                  <c:v>41</c:v>
                </c:pt>
                <c:pt idx="3">
                  <c:v>16</c:v>
                </c:pt>
              </c:numCache>
            </c:numRef>
          </c:val>
        </c:ser>
        <c:ser>
          <c:idx val="1"/>
          <c:order val="1"/>
          <c:tx>
            <c:strRef>
              <c:f>Sheet1!$G$271</c:f>
              <c:strCache>
                <c:ptCount val="1"/>
                <c:pt idx="0">
                  <c:v>15-64 years</c:v>
                </c:pt>
              </c:strCache>
            </c:strRef>
          </c:tx>
          <c:spPr>
            <a:solidFill>
              <a:srgbClr val="00B050"/>
            </a:solidFill>
          </c:spPr>
          <c:invertIfNegative val="0"/>
          <c:dLbls>
            <c:spPr>
              <a:noFill/>
              <a:ln>
                <a:noFill/>
              </a:ln>
              <a:effectLst/>
            </c:spPr>
            <c:txPr>
              <a:bodyPr wrap="square" lIns="38100" tIns="19050" rIns="38100" bIns="19050" anchor="ctr">
                <a:spAutoFit/>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Sheet1!$H$269:$K$269</c:f>
              <c:strCache>
                <c:ptCount val="4"/>
                <c:pt idx="0">
                  <c:v>Zimbabwe</c:v>
                </c:pt>
                <c:pt idx="1">
                  <c:v>Southern Africa</c:v>
                </c:pt>
                <c:pt idx="2">
                  <c:v>Least Developed Countries</c:v>
                </c:pt>
                <c:pt idx="3">
                  <c:v>More Developed Countries</c:v>
                </c:pt>
              </c:strCache>
            </c:strRef>
          </c:cat>
          <c:val>
            <c:numRef>
              <c:f>Sheet1!$H$271:$K$271</c:f>
              <c:numCache>
                <c:formatCode>General</c:formatCode>
                <c:ptCount val="4"/>
                <c:pt idx="0">
                  <c:v>55</c:v>
                </c:pt>
                <c:pt idx="1">
                  <c:v>63</c:v>
                </c:pt>
                <c:pt idx="2">
                  <c:v>56</c:v>
                </c:pt>
                <c:pt idx="3">
                  <c:v>68</c:v>
                </c:pt>
              </c:numCache>
            </c:numRef>
          </c:val>
        </c:ser>
        <c:ser>
          <c:idx val="2"/>
          <c:order val="2"/>
          <c:tx>
            <c:strRef>
              <c:f>Sheet1!$G$272</c:f>
              <c:strCache>
                <c:ptCount val="1"/>
                <c:pt idx="0">
                  <c:v>65+ years</c:v>
                </c:pt>
              </c:strCache>
            </c:strRef>
          </c:tx>
          <c:spPr>
            <a:solidFill>
              <a:schemeClr val="accent2">
                <a:lumMod val="40000"/>
                <a:lumOff val="60000"/>
              </a:schemeClr>
            </a:solidFill>
          </c:spPr>
          <c:invertIfNegative val="0"/>
          <c:dLbls>
            <c:spPr>
              <a:noFill/>
              <a:ln>
                <a:noFill/>
              </a:ln>
              <a:effectLst/>
            </c:spPr>
            <c:txPr>
              <a:bodyPr wrap="square" lIns="38100" tIns="19050" rIns="38100" bIns="19050" anchor="ctr">
                <a:spAutoFit/>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Sheet1!$H$269:$K$269</c:f>
              <c:strCache>
                <c:ptCount val="4"/>
                <c:pt idx="0">
                  <c:v>Zimbabwe</c:v>
                </c:pt>
                <c:pt idx="1">
                  <c:v>Southern Africa</c:v>
                </c:pt>
                <c:pt idx="2">
                  <c:v>Least Developed Countries</c:v>
                </c:pt>
                <c:pt idx="3">
                  <c:v>More Developed Countries</c:v>
                </c:pt>
              </c:strCache>
            </c:strRef>
          </c:cat>
          <c:val>
            <c:numRef>
              <c:f>Sheet1!$H$272:$K$272</c:f>
              <c:numCache>
                <c:formatCode>General</c:formatCode>
                <c:ptCount val="4"/>
                <c:pt idx="0">
                  <c:v>4</c:v>
                </c:pt>
                <c:pt idx="1">
                  <c:v>5</c:v>
                </c:pt>
                <c:pt idx="2">
                  <c:v>3</c:v>
                </c:pt>
                <c:pt idx="3">
                  <c:v>16</c:v>
                </c:pt>
              </c:numCache>
            </c:numRef>
          </c:val>
        </c:ser>
        <c:dLbls>
          <c:showLegendKey val="0"/>
          <c:showVal val="0"/>
          <c:showCatName val="0"/>
          <c:showSerName val="0"/>
          <c:showPercent val="0"/>
          <c:showBubbleSize val="0"/>
        </c:dLbls>
        <c:gapWidth val="36"/>
        <c:overlap val="100"/>
        <c:axId val="782272656"/>
        <c:axId val="782276576"/>
      </c:barChart>
      <c:catAx>
        <c:axId val="782272656"/>
        <c:scaling>
          <c:orientation val="minMax"/>
        </c:scaling>
        <c:delete val="0"/>
        <c:axPos val="b"/>
        <c:numFmt formatCode="General" sourceLinked="0"/>
        <c:majorTickMark val="none"/>
        <c:minorTickMark val="none"/>
        <c:tickLblPos val="nextTo"/>
        <c:txPr>
          <a:bodyPr/>
          <a:lstStyle/>
          <a:p>
            <a:pPr>
              <a:defRPr sz="900">
                <a:latin typeface="+mj-lt"/>
              </a:defRPr>
            </a:pPr>
            <a:endParaRPr lang="en-US"/>
          </a:p>
        </c:txPr>
        <c:crossAx val="782276576"/>
        <c:crosses val="autoZero"/>
        <c:auto val="1"/>
        <c:lblAlgn val="ctr"/>
        <c:lblOffset val="100"/>
        <c:noMultiLvlLbl val="0"/>
      </c:catAx>
      <c:valAx>
        <c:axId val="782276576"/>
        <c:scaling>
          <c:orientation val="minMax"/>
        </c:scaling>
        <c:delete val="1"/>
        <c:axPos val="l"/>
        <c:title>
          <c:tx>
            <c:rich>
              <a:bodyPr/>
              <a:lstStyle/>
              <a:p>
                <a:pPr>
                  <a:defRPr sz="800"/>
                </a:pPr>
                <a:r>
                  <a:rPr lang="en-US" sz="800"/>
                  <a:t>%</a:t>
                </a:r>
              </a:p>
            </c:rich>
          </c:tx>
          <c:overlay val="0"/>
        </c:title>
        <c:numFmt formatCode="General" sourceLinked="1"/>
        <c:majorTickMark val="out"/>
        <c:minorTickMark val="none"/>
        <c:tickLblPos val="none"/>
        <c:crossAx val="782272656"/>
        <c:crosses val="autoZero"/>
        <c:crossBetween val="between"/>
      </c:valAx>
    </c:plotArea>
    <c:legend>
      <c:legendPos val="r"/>
      <c:layout>
        <c:manualLayout>
          <c:xMode val="edge"/>
          <c:yMode val="edge"/>
          <c:x val="0.19267768509134378"/>
          <c:y val="3.3865134590734297E-3"/>
          <c:w val="0.39808139081624699"/>
          <c:h val="0.10175372337178783"/>
        </c:manualLayout>
      </c:layout>
      <c:overlay val="0"/>
      <c:txPr>
        <a:bodyPr/>
        <a:lstStyle/>
        <a:p>
          <a:pPr>
            <a:defRPr sz="800"/>
          </a:pPr>
          <a:endParaRPr lang="en-US"/>
        </a:p>
      </c:txPr>
    </c:legend>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Sheet10!$I$32</c:f>
              <c:strCache>
                <c:ptCount val="1"/>
                <c:pt idx="0">
                  <c:v>Low</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Sheet10!$H$33:$H$37</c:f>
              <c:strCache>
                <c:ptCount val="5"/>
                <c:pt idx="0">
                  <c:v>2012</c:v>
                </c:pt>
                <c:pt idx="1">
                  <c:v>2022</c:v>
                </c:pt>
                <c:pt idx="2">
                  <c:v>2017</c:v>
                </c:pt>
                <c:pt idx="3">
                  <c:v>2027</c:v>
                </c:pt>
                <c:pt idx="4">
                  <c:v>2032</c:v>
                </c:pt>
              </c:strCache>
            </c:strRef>
          </c:cat>
          <c:val>
            <c:numRef>
              <c:f>Sheet10!$I$33:$I$37</c:f>
              <c:numCache>
                <c:formatCode>General</c:formatCode>
                <c:ptCount val="5"/>
                <c:pt idx="0">
                  <c:v>13.1</c:v>
                </c:pt>
                <c:pt idx="1">
                  <c:v>14.5</c:v>
                </c:pt>
                <c:pt idx="2">
                  <c:v>16</c:v>
                </c:pt>
                <c:pt idx="3">
                  <c:v>17.2</c:v>
                </c:pt>
                <c:pt idx="4">
                  <c:v>18.899999999999999</c:v>
                </c:pt>
              </c:numCache>
            </c:numRef>
          </c:val>
        </c:ser>
        <c:ser>
          <c:idx val="1"/>
          <c:order val="1"/>
          <c:tx>
            <c:strRef>
              <c:f>Sheet10!$J$32</c:f>
              <c:strCache>
                <c:ptCount val="1"/>
                <c:pt idx="0">
                  <c:v>Medium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Sheet10!$H$33:$H$37</c:f>
              <c:strCache>
                <c:ptCount val="5"/>
                <c:pt idx="0">
                  <c:v>2012</c:v>
                </c:pt>
                <c:pt idx="1">
                  <c:v>2022</c:v>
                </c:pt>
                <c:pt idx="2">
                  <c:v>2017</c:v>
                </c:pt>
                <c:pt idx="3">
                  <c:v>2027</c:v>
                </c:pt>
                <c:pt idx="4">
                  <c:v>2032</c:v>
                </c:pt>
              </c:strCache>
            </c:strRef>
          </c:cat>
          <c:val>
            <c:numRef>
              <c:f>Sheet10!$J$33:$J$37</c:f>
              <c:numCache>
                <c:formatCode>General</c:formatCode>
                <c:ptCount val="5"/>
                <c:pt idx="0">
                  <c:v>13.1</c:v>
                </c:pt>
                <c:pt idx="1">
                  <c:v>14.5</c:v>
                </c:pt>
                <c:pt idx="2">
                  <c:v>16.100000000000001</c:v>
                </c:pt>
                <c:pt idx="3">
                  <c:v>17.7</c:v>
                </c:pt>
                <c:pt idx="4">
                  <c:v>19.3</c:v>
                </c:pt>
              </c:numCache>
            </c:numRef>
          </c:val>
        </c:ser>
        <c:ser>
          <c:idx val="2"/>
          <c:order val="2"/>
          <c:tx>
            <c:strRef>
              <c:f>Sheet10!$K$32</c:f>
              <c:strCache>
                <c:ptCount val="1"/>
                <c:pt idx="0">
                  <c:v>High</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Sheet10!$H$33:$H$37</c:f>
              <c:strCache>
                <c:ptCount val="5"/>
                <c:pt idx="0">
                  <c:v>2012</c:v>
                </c:pt>
                <c:pt idx="1">
                  <c:v>2022</c:v>
                </c:pt>
                <c:pt idx="2">
                  <c:v>2017</c:v>
                </c:pt>
                <c:pt idx="3">
                  <c:v>2027</c:v>
                </c:pt>
                <c:pt idx="4">
                  <c:v>2032</c:v>
                </c:pt>
              </c:strCache>
            </c:strRef>
          </c:cat>
          <c:val>
            <c:numRef>
              <c:f>Sheet10!$K$33:$K$37</c:f>
              <c:numCache>
                <c:formatCode>General</c:formatCode>
                <c:ptCount val="5"/>
                <c:pt idx="0">
                  <c:v>13.1</c:v>
                </c:pt>
                <c:pt idx="1">
                  <c:v>14.6</c:v>
                </c:pt>
                <c:pt idx="2">
                  <c:v>16.2</c:v>
                </c:pt>
                <c:pt idx="3">
                  <c:v>18</c:v>
                </c:pt>
                <c:pt idx="4">
                  <c:v>19.899999999999999</c:v>
                </c:pt>
              </c:numCache>
            </c:numRef>
          </c:val>
        </c:ser>
        <c:dLbls>
          <c:showLegendKey val="0"/>
          <c:showVal val="0"/>
          <c:showCatName val="0"/>
          <c:showSerName val="0"/>
          <c:showPercent val="0"/>
          <c:showBubbleSize val="0"/>
        </c:dLbls>
        <c:gapWidth val="219"/>
        <c:overlap val="-27"/>
        <c:axId val="782291696"/>
        <c:axId val="782267056"/>
      </c:barChart>
      <c:catAx>
        <c:axId val="782291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2267056"/>
        <c:crosses val="autoZero"/>
        <c:auto val="1"/>
        <c:lblAlgn val="ctr"/>
        <c:lblOffset val="100"/>
        <c:noMultiLvlLbl val="0"/>
      </c:catAx>
      <c:valAx>
        <c:axId val="782267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2291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297886763205081"/>
          <c:y val="2.9112081513828238E-2"/>
          <c:w val="0.82220549698260337"/>
          <c:h val="0.71514401311189812"/>
        </c:manualLayout>
      </c:layout>
      <c:barChart>
        <c:barDir val="col"/>
        <c:grouping val="clustered"/>
        <c:varyColors val="0"/>
        <c:ser>
          <c:idx val="0"/>
          <c:order val="0"/>
          <c:tx>
            <c:strRef>
              <c:f>Sheet9!$I$31</c:f>
              <c:strCache>
                <c:ptCount val="1"/>
                <c:pt idx="0">
                  <c:v>2012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Sheet9!$J$30:$L$30</c:f>
              <c:strCache>
                <c:ptCount val="3"/>
                <c:pt idx="0">
                  <c:v>&lt;15 years</c:v>
                </c:pt>
                <c:pt idx="1">
                  <c:v>15-64 years</c:v>
                </c:pt>
                <c:pt idx="2">
                  <c:v>65+</c:v>
                </c:pt>
              </c:strCache>
            </c:strRef>
          </c:cat>
          <c:val>
            <c:numRef>
              <c:f>Sheet9!$J$31:$L$31</c:f>
              <c:numCache>
                <c:formatCode>General</c:formatCode>
                <c:ptCount val="3"/>
                <c:pt idx="0">
                  <c:v>41.2</c:v>
                </c:pt>
                <c:pt idx="1">
                  <c:v>54.7</c:v>
                </c:pt>
                <c:pt idx="2">
                  <c:v>4.0999999999999996</c:v>
                </c:pt>
              </c:numCache>
            </c:numRef>
          </c:val>
        </c:ser>
        <c:ser>
          <c:idx val="1"/>
          <c:order val="1"/>
          <c:tx>
            <c:strRef>
              <c:f>Sheet9!$I$32</c:f>
              <c:strCache>
                <c:ptCount val="1"/>
                <c:pt idx="0">
                  <c:v>2032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Sheet9!$J$30:$L$30</c:f>
              <c:strCache>
                <c:ptCount val="3"/>
                <c:pt idx="0">
                  <c:v>&lt;15 years</c:v>
                </c:pt>
                <c:pt idx="1">
                  <c:v>15-64 years</c:v>
                </c:pt>
                <c:pt idx="2">
                  <c:v>65+</c:v>
                </c:pt>
              </c:strCache>
            </c:strRef>
          </c:cat>
          <c:val>
            <c:numRef>
              <c:f>Sheet9!$J$32:$L$32</c:f>
              <c:numCache>
                <c:formatCode>General</c:formatCode>
                <c:ptCount val="3"/>
                <c:pt idx="0">
                  <c:v>32.299999999999997</c:v>
                </c:pt>
                <c:pt idx="1">
                  <c:v>63.7</c:v>
                </c:pt>
                <c:pt idx="2">
                  <c:v>4</c:v>
                </c:pt>
              </c:numCache>
            </c:numRef>
          </c:val>
        </c:ser>
        <c:dLbls>
          <c:showLegendKey val="0"/>
          <c:showVal val="0"/>
          <c:showCatName val="0"/>
          <c:showSerName val="0"/>
          <c:showPercent val="0"/>
          <c:showBubbleSize val="0"/>
        </c:dLbls>
        <c:gapWidth val="219"/>
        <c:overlap val="-27"/>
        <c:axId val="782291136"/>
        <c:axId val="782279376"/>
      </c:barChart>
      <c:catAx>
        <c:axId val="7822911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Age Group</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2279376"/>
        <c:crosses val="autoZero"/>
        <c:auto val="1"/>
        <c:lblAlgn val="ctr"/>
        <c:lblOffset val="100"/>
        <c:noMultiLvlLbl val="0"/>
      </c:catAx>
      <c:valAx>
        <c:axId val="7822793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Composition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2291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Sheet2!$S$6</c:f>
              <c:strCache>
                <c:ptCount val="1"/>
                <c:pt idx="0">
                  <c:v>TFR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Sheet2!$R$7:$R$11</c:f>
              <c:strCache>
                <c:ptCount val="5"/>
                <c:pt idx="0">
                  <c:v>1969</c:v>
                </c:pt>
                <c:pt idx="1">
                  <c:v>1982</c:v>
                </c:pt>
                <c:pt idx="2">
                  <c:v>1992</c:v>
                </c:pt>
                <c:pt idx="3">
                  <c:v>2002</c:v>
                </c:pt>
                <c:pt idx="4">
                  <c:v>2012</c:v>
                </c:pt>
              </c:strCache>
            </c:strRef>
          </c:cat>
          <c:val>
            <c:numRef>
              <c:f>Sheet2!$S$7:$S$11</c:f>
              <c:numCache>
                <c:formatCode>General</c:formatCode>
                <c:ptCount val="5"/>
                <c:pt idx="0">
                  <c:v>6.9</c:v>
                </c:pt>
                <c:pt idx="1">
                  <c:v>5.6</c:v>
                </c:pt>
                <c:pt idx="2">
                  <c:v>4.4000000000000004</c:v>
                </c:pt>
                <c:pt idx="3">
                  <c:v>3.6</c:v>
                </c:pt>
                <c:pt idx="4">
                  <c:v>3.8</c:v>
                </c:pt>
              </c:numCache>
            </c:numRef>
          </c:val>
        </c:ser>
        <c:dLbls>
          <c:showLegendKey val="0"/>
          <c:showVal val="0"/>
          <c:showCatName val="0"/>
          <c:showSerName val="0"/>
          <c:showPercent val="0"/>
          <c:showBubbleSize val="0"/>
        </c:dLbls>
        <c:gapWidth val="150"/>
        <c:axId val="907213648"/>
        <c:axId val="907213088"/>
      </c:barChart>
      <c:catAx>
        <c:axId val="9072136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7213088"/>
        <c:crosses val="autoZero"/>
        <c:auto val="1"/>
        <c:lblAlgn val="ctr"/>
        <c:lblOffset val="100"/>
        <c:noMultiLvlLbl val="0"/>
      </c:catAx>
      <c:valAx>
        <c:axId val="9072130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a:t>Total Fertility Rate</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7213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Sheet10!$I$11</c:f>
              <c:strCache>
                <c:ptCount val="1"/>
                <c:pt idx="0">
                  <c:v>Growth Rate</c:v>
                </c:pt>
              </c:strCache>
            </c:strRef>
          </c:tx>
          <c:spPr>
            <a:solidFill>
              <a:schemeClr val="accent2">
                <a:lumMod val="60000"/>
                <a:lumOff val="40000"/>
              </a:schemeClr>
            </a:solidFill>
            <a:ln>
              <a:noFill/>
            </a:ln>
            <a:effectLst/>
          </c:spPr>
          <c:invertIfNegative val="0"/>
          <c:dPt>
            <c:idx val="5"/>
            <c:invertIfNegative val="0"/>
            <c:bubble3D val="0"/>
            <c:spPr>
              <a:solidFill>
                <a:schemeClr val="accent4">
                  <a:lumMod val="75000"/>
                </a:schemeClr>
              </a:solidFill>
              <a:ln>
                <a:noFill/>
              </a:ln>
              <a:effectLst/>
            </c:spPr>
          </c:dPt>
          <c:dLbls>
            <c:dLbl>
              <c:idx val="5"/>
              <c:tx>
                <c:rich>
                  <a:bodyPr/>
                  <a:lstStyle/>
                  <a:p>
                    <a:fld id="{5014DB22-E246-4E9E-8444-FA28A417FB55}" type="VALUE">
                      <a:rPr lang="en-US"/>
                      <a:pPr/>
                      <a:t>[VALUE]</a:t>
                    </a:fld>
                    <a:r>
                      <a:rPr lang="en-US"/>
                      <a:t>.0</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Sheet10!$H$12:$H$18</c:f>
              <c:strCache>
                <c:ptCount val="7"/>
                <c:pt idx="0">
                  <c:v>Working Age (15-64)</c:v>
                </c:pt>
                <c:pt idx="1">
                  <c:v>Reporductive Age (15-49)</c:v>
                </c:pt>
                <c:pt idx="2">
                  <c:v>Young People (15-24)</c:v>
                </c:pt>
                <c:pt idx="3">
                  <c:v>Older Persons (65+)</c:v>
                </c:pt>
                <c:pt idx="4">
                  <c:v>School going age (5-24)</c:v>
                </c:pt>
                <c:pt idx="5">
                  <c:v>Annual Average Growth Rate</c:v>
                </c:pt>
                <c:pt idx="6">
                  <c:v>Children (0-4)</c:v>
                </c:pt>
              </c:strCache>
            </c:strRef>
          </c:cat>
          <c:val>
            <c:numRef>
              <c:f>Sheet10!$I$12:$I$18</c:f>
              <c:numCache>
                <c:formatCode>General</c:formatCode>
                <c:ptCount val="7"/>
                <c:pt idx="0">
                  <c:v>3.59</c:v>
                </c:pt>
                <c:pt idx="1">
                  <c:v>3.27</c:v>
                </c:pt>
                <c:pt idx="2">
                  <c:v>2.23</c:v>
                </c:pt>
                <c:pt idx="3">
                  <c:v>2.16</c:v>
                </c:pt>
                <c:pt idx="4">
                  <c:v>1.52</c:v>
                </c:pt>
                <c:pt idx="5">
                  <c:v>2</c:v>
                </c:pt>
                <c:pt idx="6">
                  <c:v>0.39</c:v>
                </c:pt>
              </c:numCache>
            </c:numRef>
          </c:val>
        </c:ser>
        <c:dLbls>
          <c:showLegendKey val="0"/>
          <c:showVal val="0"/>
          <c:showCatName val="0"/>
          <c:showSerName val="0"/>
          <c:showPercent val="0"/>
          <c:showBubbleSize val="0"/>
        </c:dLbls>
        <c:gapWidth val="219"/>
        <c:overlap val="-27"/>
        <c:axId val="782288336"/>
        <c:axId val="782284976"/>
      </c:barChart>
      <c:catAx>
        <c:axId val="7822883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Projected Population Group</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2284976"/>
        <c:crosses val="autoZero"/>
        <c:auto val="1"/>
        <c:lblAlgn val="ctr"/>
        <c:lblOffset val="100"/>
        <c:noMultiLvlLbl val="0"/>
      </c:catAx>
      <c:valAx>
        <c:axId val="7822849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Annual Average Growth Rates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2288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Sheet11!$R$5</c:f>
              <c:strCache>
                <c:ptCount val="1"/>
                <c:pt idx="0">
                  <c:v>Proportion 15-64 years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Sheet11!$Q$6:$Q$9</c:f>
              <c:strCache>
                <c:ptCount val="4"/>
                <c:pt idx="0">
                  <c:v>1982</c:v>
                </c:pt>
                <c:pt idx="1">
                  <c:v>1992</c:v>
                </c:pt>
                <c:pt idx="2">
                  <c:v>2002</c:v>
                </c:pt>
                <c:pt idx="3">
                  <c:v>2012</c:v>
                </c:pt>
              </c:strCache>
            </c:strRef>
          </c:cat>
          <c:val>
            <c:numRef>
              <c:f>Sheet11!$R$6:$R$9</c:f>
              <c:numCache>
                <c:formatCode>0.0</c:formatCode>
                <c:ptCount val="4"/>
                <c:pt idx="0">
                  <c:v>49.0657564450701</c:v>
                </c:pt>
                <c:pt idx="1">
                  <c:v>51.452689581839138</c:v>
                </c:pt>
                <c:pt idx="2">
                  <c:v>55.630595021844265</c:v>
                </c:pt>
                <c:pt idx="3">
                  <c:v>54.70173235479421</c:v>
                </c:pt>
              </c:numCache>
            </c:numRef>
          </c:val>
        </c:ser>
        <c:dLbls>
          <c:showLegendKey val="0"/>
          <c:showVal val="0"/>
          <c:showCatName val="0"/>
          <c:showSerName val="0"/>
          <c:showPercent val="0"/>
          <c:showBubbleSize val="0"/>
        </c:dLbls>
        <c:gapWidth val="219"/>
        <c:axId val="782292256"/>
        <c:axId val="782296176"/>
      </c:barChart>
      <c:lineChart>
        <c:grouping val="standard"/>
        <c:varyColors val="0"/>
        <c:ser>
          <c:idx val="1"/>
          <c:order val="1"/>
          <c:tx>
            <c:strRef>
              <c:f>Sheet11!$S$5</c:f>
              <c:strCache>
                <c:ptCount val="1"/>
                <c:pt idx="0">
                  <c:v>Dependency ratios</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cat>
            <c:strRef>
              <c:f>Sheet11!$Q$6:$Q$9</c:f>
              <c:strCache>
                <c:ptCount val="4"/>
                <c:pt idx="0">
                  <c:v>1982</c:v>
                </c:pt>
                <c:pt idx="1">
                  <c:v>1992</c:v>
                </c:pt>
                <c:pt idx="2">
                  <c:v>2002</c:v>
                </c:pt>
                <c:pt idx="3">
                  <c:v>2012</c:v>
                </c:pt>
              </c:strCache>
            </c:strRef>
          </c:cat>
          <c:val>
            <c:numRef>
              <c:f>Sheet11!$S$6:$S$9</c:f>
              <c:numCache>
                <c:formatCode>0.0</c:formatCode>
                <c:ptCount val="4"/>
                <c:pt idx="0">
                  <c:v>103.80818295014498</c:v>
                </c:pt>
                <c:pt idx="1">
                  <c:v>94.353262395250354</c:v>
                </c:pt>
                <c:pt idx="2">
                  <c:v>79.757215535733053</c:v>
                </c:pt>
                <c:pt idx="3">
                  <c:v>82.80958088793912</c:v>
                </c:pt>
              </c:numCache>
            </c:numRef>
          </c:val>
          <c:smooth val="0"/>
        </c:ser>
        <c:dLbls>
          <c:showLegendKey val="0"/>
          <c:showVal val="0"/>
          <c:showCatName val="0"/>
          <c:showSerName val="0"/>
          <c:showPercent val="0"/>
          <c:showBubbleSize val="0"/>
        </c:dLbls>
        <c:marker val="1"/>
        <c:smooth val="0"/>
        <c:axId val="782264816"/>
        <c:axId val="782267616"/>
      </c:lineChart>
      <c:catAx>
        <c:axId val="782292256"/>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2296176"/>
        <c:crosses val="autoZero"/>
        <c:auto val="1"/>
        <c:lblAlgn val="ctr"/>
        <c:lblOffset val="100"/>
        <c:noMultiLvlLbl val="0"/>
      </c:catAx>
      <c:valAx>
        <c:axId val="7822961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sz="800"/>
                  <a:t>Proportion 15-64 years</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2292256"/>
        <c:crosses val="autoZero"/>
        <c:crossBetween val="between"/>
      </c:valAx>
      <c:valAx>
        <c:axId val="782267616"/>
        <c:scaling>
          <c:orientation val="minMax"/>
        </c:scaling>
        <c:delete val="0"/>
        <c:axPos val="r"/>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sz="800"/>
                  <a:t>Dependency ratios</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2264816"/>
        <c:crosses val="max"/>
        <c:crossBetween val="between"/>
      </c:valAx>
      <c:catAx>
        <c:axId val="782264816"/>
        <c:scaling>
          <c:orientation val="minMax"/>
        </c:scaling>
        <c:delete val="1"/>
        <c:axPos val="b"/>
        <c:numFmt formatCode="General" sourceLinked="1"/>
        <c:majorTickMark val="none"/>
        <c:minorTickMark val="none"/>
        <c:tickLblPos val="nextTo"/>
        <c:crossAx val="78226761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Sheet8!$G$6</c:f>
              <c:strCache>
                <c:ptCount val="1"/>
                <c:pt idx="0">
                  <c:v>TFR</c:v>
                </c:pt>
              </c:strCache>
            </c:strRef>
          </c:tx>
          <c:spPr>
            <a:solidFill>
              <a:schemeClr val="accent1"/>
            </a:solidFill>
            <a:ln>
              <a:noFill/>
            </a:ln>
            <a:effectLst/>
          </c:spPr>
          <c:invertIfNegative val="0"/>
          <c:dPt>
            <c:idx val="5"/>
            <c:invertIfNegative val="0"/>
            <c:bubble3D val="0"/>
            <c:spPr>
              <a:solidFill>
                <a:schemeClr val="accent2">
                  <a:lumMod val="60000"/>
                  <a:lumOff val="40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Sheet8!$F$7:$F$16</c:f>
              <c:strCache>
                <c:ptCount val="10"/>
                <c:pt idx="0">
                  <c:v>South Africa</c:v>
                </c:pt>
                <c:pt idx="1">
                  <c:v>Botswana</c:v>
                </c:pt>
                <c:pt idx="2">
                  <c:v>Lesotho</c:v>
                </c:pt>
                <c:pt idx="3">
                  <c:v>Namibia</c:v>
                </c:pt>
                <c:pt idx="4">
                  <c:v>Swaziland</c:v>
                </c:pt>
                <c:pt idx="5">
                  <c:v>Zimbabwe </c:v>
                </c:pt>
                <c:pt idx="6">
                  <c:v>Mozambique</c:v>
                </c:pt>
                <c:pt idx="7">
                  <c:v>Malawi</c:v>
                </c:pt>
                <c:pt idx="8">
                  <c:v>Zambia</c:v>
                </c:pt>
                <c:pt idx="9">
                  <c:v>Angola</c:v>
                </c:pt>
              </c:strCache>
            </c:strRef>
          </c:cat>
          <c:val>
            <c:numRef>
              <c:f>Sheet8!$G$7:$G$16</c:f>
              <c:numCache>
                <c:formatCode>General</c:formatCode>
                <c:ptCount val="10"/>
                <c:pt idx="0">
                  <c:v>2.4</c:v>
                </c:pt>
                <c:pt idx="1">
                  <c:v>2.7</c:v>
                </c:pt>
                <c:pt idx="2">
                  <c:v>3.1</c:v>
                </c:pt>
                <c:pt idx="3">
                  <c:v>3.1</c:v>
                </c:pt>
                <c:pt idx="4">
                  <c:v>3.4</c:v>
                </c:pt>
                <c:pt idx="5">
                  <c:v>3.8</c:v>
                </c:pt>
                <c:pt idx="6">
                  <c:v>5.3</c:v>
                </c:pt>
                <c:pt idx="7">
                  <c:v>5.5</c:v>
                </c:pt>
                <c:pt idx="8">
                  <c:v>5.7</c:v>
                </c:pt>
                <c:pt idx="9">
                  <c:v>6</c:v>
                </c:pt>
              </c:numCache>
            </c:numRef>
          </c:val>
        </c:ser>
        <c:dLbls>
          <c:showLegendKey val="0"/>
          <c:showVal val="0"/>
          <c:showCatName val="0"/>
          <c:showSerName val="0"/>
          <c:showPercent val="0"/>
          <c:showBubbleSize val="0"/>
        </c:dLbls>
        <c:gapWidth val="182"/>
        <c:axId val="907206928"/>
        <c:axId val="907220928"/>
      </c:barChart>
      <c:lineChart>
        <c:grouping val="standard"/>
        <c:varyColors val="0"/>
        <c:ser>
          <c:idx val="1"/>
          <c:order val="1"/>
          <c:tx>
            <c:strRef>
              <c:f>Sheet8!$H$6</c:f>
              <c:strCache>
                <c:ptCount val="1"/>
                <c:pt idx="0">
                  <c:v>GDP Per Capita</c:v>
                </c:pt>
              </c:strCache>
            </c:strRef>
          </c:tx>
          <c:spPr>
            <a:ln w="28575" cap="rnd">
              <a:solidFill>
                <a:schemeClr val="accent2"/>
              </a:solidFill>
              <a:round/>
            </a:ln>
            <a:effectLst/>
          </c:spPr>
          <c:marker>
            <c:symbol val="none"/>
          </c:marker>
          <c:cat>
            <c:strRef>
              <c:f>Sheet8!$F$7:$F$16</c:f>
              <c:strCache>
                <c:ptCount val="10"/>
                <c:pt idx="0">
                  <c:v>South Africa</c:v>
                </c:pt>
                <c:pt idx="1">
                  <c:v>Botswana</c:v>
                </c:pt>
                <c:pt idx="2">
                  <c:v>Lesotho</c:v>
                </c:pt>
                <c:pt idx="3">
                  <c:v>Namibia</c:v>
                </c:pt>
                <c:pt idx="4">
                  <c:v>Swaziland</c:v>
                </c:pt>
                <c:pt idx="5">
                  <c:v>Zimbabwe </c:v>
                </c:pt>
                <c:pt idx="6">
                  <c:v>Mozambique</c:v>
                </c:pt>
                <c:pt idx="7">
                  <c:v>Malawi</c:v>
                </c:pt>
                <c:pt idx="8">
                  <c:v>Zambia</c:v>
                </c:pt>
                <c:pt idx="9">
                  <c:v>Angola</c:v>
                </c:pt>
              </c:strCache>
            </c:strRef>
          </c:cat>
          <c:val>
            <c:numRef>
              <c:f>Sheet8!$H$7:$H$16</c:f>
              <c:numCache>
                <c:formatCode>General</c:formatCode>
                <c:ptCount val="10"/>
                <c:pt idx="0">
                  <c:v>6477.9</c:v>
                </c:pt>
                <c:pt idx="1">
                  <c:v>7123.3</c:v>
                </c:pt>
                <c:pt idx="2">
                  <c:v>990</c:v>
                </c:pt>
                <c:pt idx="3">
                  <c:v>5589</c:v>
                </c:pt>
                <c:pt idx="4">
                  <c:v>2679.4</c:v>
                </c:pt>
                <c:pt idx="5">
                  <c:v>896.2</c:v>
                </c:pt>
                <c:pt idx="6">
                  <c:v>602.1</c:v>
                </c:pt>
                <c:pt idx="7">
                  <c:v>255</c:v>
                </c:pt>
                <c:pt idx="8">
                  <c:v>1721.6</c:v>
                </c:pt>
                <c:pt idx="9">
                  <c:v>5498.1</c:v>
                </c:pt>
              </c:numCache>
            </c:numRef>
          </c:val>
          <c:smooth val="0"/>
        </c:ser>
        <c:dLbls>
          <c:showLegendKey val="0"/>
          <c:showVal val="0"/>
          <c:showCatName val="0"/>
          <c:showSerName val="0"/>
          <c:showPercent val="0"/>
          <c:showBubbleSize val="0"/>
        </c:dLbls>
        <c:marker val="1"/>
        <c:smooth val="0"/>
        <c:axId val="907212528"/>
        <c:axId val="907220368"/>
      </c:lineChart>
      <c:catAx>
        <c:axId val="9072125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Country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907220368"/>
        <c:crosses val="autoZero"/>
        <c:auto val="1"/>
        <c:lblAlgn val="ctr"/>
        <c:lblOffset val="100"/>
        <c:noMultiLvlLbl val="0"/>
      </c:catAx>
      <c:valAx>
        <c:axId val="9072203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 Capita GDP</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7212528"/>
        <c:crosses val="autoZero"/>
        <c:crossBetween val="between"/>
      </c:valAx>
      <c:valAx>
        <c:axId val="907220928"/>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Total Fertilty Rate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7206928"/>
        <c:crosses val="max"/>
        <c:crossBetween val="between"/>
      </c:valAx>
      <c:catAx>
        <c:axId val="907206928"/>
        <c:scaling>
          <c:orientation val="minMax"/>
        </c:scaling>
        <c:delete val="1"/>
        <c:axPos val="b"/>
        <c:numFmt formatCode="General" sourceLinked="1"/>
        <c:majorTickMark val="out"/>
        <c:minorTickMark val="none"/>
        <c:tickLblPos val="nextTo"/>
        <c:crossAx val="90722092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7651077513615883"/>
          <c:y val="0.11540768942343743"/>
          <c:w val="0.56989761872986211"/>
          <c:h val="0.77837313605030145"/>
        </c:manualLayout>
      </c:layout>
      <c:barChart>
        <c:barDir val="bar"/>
        <c:grouping val="clustered"/>
        <c:varyColors val="0"/>
        <c:ser>
          <c:idx val="0"/>
          <c:order val="0"/>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Sheet5!$I$6:$I$17</c:f>
              <c:strCache>
                <c:ptCount val="11"/>
                <c:pt idx="0">
                  <c:v>Total</c:v>
                </c:pt>
                <c:pt idx="1">
                  <c:v>Bulawayo</c:v>
                </c:pt>
                <c:pt idx="2">
                  <c:v>Harare</c:v>
                </c:pt>
                <c:pt idx="3">
                  <c:v>Matebeleland South</c:v>
                </c:pt>
                <c:pt idx="4">
                  <c:v>Matebeleland North</c:v>
                </c:pt>
                <c:pt idx="5">
                  <c:v>Midlands</c:v>
                </c:pt>
                <c:pt idx="6">
                  <c:v>Masvingo</c:v>
                </c:pt>
                <c:pt idx="7">
                  <c:v>Mashonaland West</c:v>
                </c:pt>
                <c:pt idx="8">
                  <c:v>Mashonaland East</c:v>
                </c:pt>
                <c:pt idx="9">
                  <c:v>Mashonaland Central</c:v>
                </c:pt>
                <c:pt idx="10">
                  <c:v>Manicaland</c:v>
                </c:pt>
              </c:strCache>
            </c:strRef>
          </c:cat>
          <c:val>
            <c:numRef>
              <c:f>Sheet5!$J$6:$J$17</c:f>
              <c:numCache>
                <c:formatCode>General</c:formatCode>
                <c:ptCount val="12"/>
                <c:pt idx="0">
                  <c:v>3.8</c:v>
                </c:pt>
                <c:pt idx="1">
                  <c:v>2.7</c:v>
                </c:pt>
                <c:pt idx="2">
                  <c:v>3.1</c:v>
                </c:pt>
                <c:pt idx="3">
                  <c:v>3.6</c:v>
                </c:pt>
                <c:pt idx="4">
                  <c:v>3.7</c:v>
                </c:pt>
                <c:pt idx="5">
                  <c:v>3.8</c:v>
                </c:pt>
                <c:pt idx="6">
                  <c:v>3.9</c:v>
                </c:pt>
                <c:pt idx="7">
                  <c:v>4</c:v>
                </c:pt>
                <c:pt idx="8">
                  <c:v>4.0999999999999996</c:v>
                </c:pt>
                <c:pt idx="9">
                  <c:v>4.2</c:v>
                </c:pt>
                <c:pt idx="10">
                  <c:v>4.2</c:v>
                </c:pt>
              </c:numCache>
            </c:numRef>
          </c:val>
        </c:ser>
        <c:dLbls>
          <c:showLegendKey val="0"/>
          <c:showVal val="0"/>
          <c:showCatName val="0"/>
          <c:showSerName val="0"/>
          <c:showPercent val="0"/>
          <c:showBubbleSize val="0"/>
        </c:dLbls>
        <c:gapWidth val="182"/>
        <c:axId val="978095360"/>
        <c:axId val="978044960"/>
      </c:barChart>
      <c:catAx>
        <c:axId val="9780953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8044960"/>
        <c:crosses val="autoZero"/>
        <c:auto val="1"/>
        <c:lblAlgn val="ctr"/>
        <c:lblOffset val="100"/>
        <c:noMultiLvlLbl val="0"/>
      </c:catAx>
      <c:valAx>
        <c:axId val="9780449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8095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409896830529033"/>
          <c:y val="9.2002125960838302E-2"/>
          <c:w val="0.83872722431435187"/>
          <c:h val="0.80695399386315902"/>
        </c:manualLayout>
      </c:layout>
      <c:barChart>
        <c:barDir val="col"/>
        <c:grouping val="clustered"/>
        <c:varyColors val="0"/>
        <c:ser>
          <c:idx val="0"/>
          <c:order val="0"/>
          <c:tx>
            <c:strRef>
              <c:f>Sheet5!$J$27</c:f>
              <c:strCache>
                <c:ptCount val="1"/>
                <c:pt idx="0">
                  <c:v>Crude Deat Rate</c:v>
                </c:pt>
              </c:strCache>
            </c:strRef>
          </c:tx>
          <c:spPr>
            <a:solidFill>
              <a:schemeClr val="accent2">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Sheet5!$I$28:$I$30</c:f>
              <c:strCache>
                <c:ptCount val="3"/>
                <c:pt idx="0">
                  <c:v>1992</c:v>
                </c:pt>
                <c:pt idx="1">
                  <c:v>2002</c:v>
                </c:pt>
                <c:pt idx="2">
                  <c:v>2012</c:v>
                </c:pt>
              </c:strCache>
            </c:strRef>
          </c:cat>
          <c:val>
            <c:numRef>
              <c:f>Sheet5!$J$28:$J$30</c:f>
              <c:numCache>
                <c:formatCode>General</c:formatCode>
                <c:ptCount val="3"/>
                <c:pt idx="0">
                  <c:v>9.5</c:v>
                </c:pt>
                <c:pt idx="1">
                  <c:v>17.2</c:v>
                </c:pt>
                <c:pt idx="2">
                  <c:v>10.199999999999999</c:v>
                </c:pt>
              </c:numCache>
            </c:numRef>
          </c:val>
        </c:ser>
        <c:dLbls>
          <c:showLegendKey val="0"/>
          <c:showVal val="0"/>
          <c:showCatName val="0"/>
          <c:showSerName val="0"/>
          <c:showPercent val="0"/>
          <c:showBubbleSize val="0"/>
        </c:dLbls>
        <c:gapWidth val="219"/>
        <c:axId val="978098720"/>
        <c:axId val="978100400"/>
      </c:barChart>
      <c:catAx>
        <c:axId val="978098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8100400"/>
        <c:crosses val="autoZero"/>
        <c:auto val="1"/>
        <c:lblAlgn val="ctr"/>
        <c:lblOffset val="100"/>
        <c:noMultiLvlLbl val="0"/>
      </c:catAx>
      <c:valAx>
        <c:axId val="9781004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ZW" sz="900"/>
                  <a:t>CDR - Number of deaths per 1,000 population</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8098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Sheet5!$O$54</c:f>
              <c:strCache>
                <c:ptCount val="1"/>
                <c:pt idx="0">
                  <c:v>2002 Both sexes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Sheet5!$N$55:$N$75</c:f>
              <c:strCache>
                <c:ptCount val="21"/>
                <c:pt idx="0">
                  <c:v>Under 1</c:v>
                </c:pt>
                <c:pt idx="1">
                  <c:v>'01 - 04</c:v>
                </c:pt>
                <c:pt idx="2">
                  <c:v>'05 - 09</c:v>
                </c:pt>
                <c:pt idx="3">
                  <c:v>'10 - 14</c:v>
                </c:pt>
                <c:pt idx="4">
                  <c:v>15 - 19</c:v>
                </c:pt>
                <c:pt idx="5">
                  <c:v>20 - 24</c:v>
                </c:pt>
                <c:pt idx="6">
                  <c:v>25 - 29</c:v>
                </c:pt>
                <c:pt idx="7">
                  <c:v>30 - 34</c:v>
                </c:pt>
                <c:pt idx="8">
                  <c:v>35 - 39</c:v>
                </c:pt>
                <c:pt idx="9">
                  <c:v>40 - 44</c:v>
                </c:pt>
                <c:pt idx="10">
                  <c:v>45 - 49</c:v>
                </c:pt>
                <c:pt idx="11">
                  <c:v>50 - 54</c:v>
                </c:pt>
                <c:pt idx="12">
                  <c:v>55 - 59</c:v>
                </c:pt>
                <c:pt idx="13">
                  <c:v>60 - 64</c:v>
                </c:pt>
                <c:pt idx="14">
                  <c:v>65 - 69</c:v>
                </c:pt>
                <c:pt idx="15">
                  <c:v>70 - 74</c:v>
                </c:pt>
                <c:pt idx="16">
                  <c:v>75 - 79</c:v>
                </c:pt>
                <c:pt idx="17">
                  <c:v>80 - 84</c:v>
                </c:pt>
                <c:pt idx="18">
                  <c:v>85 - 89</c:v>
                </c:pt>
                <c:pt idx="19">
                  <c:v>90 - 94</c:v>
                </c:pt>
                <c:pt idx="20">
                  <c:v>95+</c:v>
                </c:pt>
              </c:strCache>
            </c:strRef>
          </c:cat>
          <c:val>
            <c:numRef>
              <c:f>Sheet5!$O$55:$O$75</c:f>
              <c:numCache>
                <c:formatCode>General</c:formatCode>
                <c:ptCount val="21"/>
                <c:pt idx="0">
                  <c:v>73.2</c:v>
                </c:pt>
                <c:pt idx="1">
                  <c:v>12.8</c:v>
                </c:pt>
                <c:pt idx="2">
                  <c:v>3.5</c:v>
                </c:pt>
                <c:pt idx="3">
                  <c:v>2.5</c:v>
                </c:pt>
                <c:pt idx="4">
                  <c:v>2.9</c:v>
                </c:pt>
                <c:pt idx="5">
                  <c:v>8.3000000000000007</c:v>
                </c:pt>
                <c:pt idx="6">
                  <c:v>18.600000000000001</c:v>
                </c:pt>
                <c:pt idx="7">
                  <c:v>30.8</c:v>
                </c:pt>
                <c:pt idx="8">
                  <c:v>40.9</c:v>
                </c:pt>
                <c:pt idx="9">
                  <c:v>37.1</c:v>
                </c:pt>
                <c:pt idx="10">
                  <c:v>35.4</c:v>
                </c:pt>
                <c:pt idx="11">
                  <c:v>30.9</c:v>
                </c:pt>
                <c:pt idx="12">
                  <c:v>31.1</c:v>
                </c:pt>
                <c:pt idx="13">
                  <c:v>32.1</c:v>
                </c:pt>
                <c:pt idx="14">
                  <c:v>35.9</c:v>
                </c:pt>
                <c:pt idx="15">
                  <c:v>39.799999999999997</c:v>
                </c:pt>
                <c:pt idx="16">
                  <c:v>51.8</c:v>
                </c:pt>
                <c:pt idx="17">
                  <c:v>64.400000000000006</c:v>
                </c:pt>
                <c:pt idx="18">
                  <c:v>94</c:v>
                </c:pt>
                <c:pt idx="19">
                  <c:v>138.19999999999999</c:v>
                </c:pt>
                <c:pt idx="20">
                  <c:v>176.4</c:v>
                </c:pt>
              </c:numCache>
            </c:numRef>
          </c:val>
          <c:smooth val="0"/>
        </c:ser>
        <c:ser>
          <c:idx val="1"/>
          <c:order val="1"/>
          <c:tx>
            <c:strRef>
              <c:f>Sheet5!$P$54</c:f>
              <c:strCache>
                <c:ptCount val="1"/>
                <c:pt idx="0">
                  <c:v>2012 Both sexes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Sheet5!$N$55:$N$75</c:f>
              <c:strCache>
                <c:ptCount val="21"/>
                <c:pt idx="0">
                  <c:v>Under 1</c:v>
                </c:pt>
                <c:pt idx="1">
                  <c:v>'01 - 04</c:v>
                </c:pt>
                <c:pt idx="2">
                  <c:v>'05 - 09</c:v>
                </c:pt>
                <c:pt idx="3">
                  <c:v>'10 - 14</c:v>
                </c:pt>
                <c:pt idx="4">
                  <c:v>15 - 19</c:v>
                </c:pt>
                <c:pt idx="5">
                  <c:v>20 - 24</c:v>
                </c:pt>
                <c:pt idx="6">
                  <c:v>25 - 29</c:v>
                </c:pt>
                <c:pt idx="7">
                  <c:v>30 - 34</c:v>
                </c:pt>
                <c:pt idx="8">
                  <c:v>35 - 39</c:v>
                </c:pt>
                <c:pt idx="9">
                  <c:v>40 - 44</c:v>
                </c:pt>
                <c:pt idx="10">
                  <c:v>45 - 49</c:v>
                </c:pt>
                <c:pt idx="11">
                  <c:v>50 - 54</c:v>
                </c:pt>
                <c:pt idx="12">
                  <c:v>55 - 59</c:v>
                </c:pt>
                <c:pt idx="13">
                  <c:v>60 - 64</c:v>
                </c:pt>
                <c:pt idx="14">
                  <c:v>65 - 69</c:v>
                </c:pt>
                <c:pt idx="15">
                  <c:v>70 - 74</c:v>
                </c:pt>
                <c:pt idx="16">
                  <c:v>75 - 79</c:v>
                </c:pt>
                <c:pt idx="17">
                  <c:v>80 - 84</c:v>
                </c:pt>
                <c:pt idx="18">
                  <c:v>85 - 89</c:v>
                </c:pt>
                <c:pt idx="19">
                  <c:v>90 - 94</c:v>
                </c:pt>
                <c:pt idx="20">
                  <c:v>95+</c:v>
                </c:pt>
              </c:strCache>
            </c:strRef>
          </c:cat>
          <c:val>
            <c:numRef>
              <c:f>Sheet5!$P$55:$P$75</c:f>
              <c:numCache>
                <c:formatCode>General</c:formatCode>
                <c:ptCount val="21"/>
                <c:pt idx="0">
                  <c:v>52.5</c:v>
                </c:pt>
                <c:pt idx="1">
                  <c:v>4.7</c:v>
                </c:pt>
                <c:pt idx="2">
                  <c:v>1.2</c:v>
                </c:pt>
                <c:pt idx="3">
                  <c:v>1.3</c:v>
                </c:pt>
                <c:pt idx="4">
                  <c:v>1.5</c:v>
                </c:pt>
                <c:pt idx="5">
                  <c:v>2.4</c:v>
                </c:pt>
                <c:pt idx="6">
                  <c:v>3.9</c:v>
                </c:pt>
                <c:pt idx="7">
                  <c:v>6.1</c:v>
                </c:pt>
                <c:pt idx="8">
                  <c:v>8.3000000000000007</c:v>
                </c:pt>
                <c:pt idx="9">
                  <c:v>10.5</c:v>
                </c:pt>
                <c:pt idx="10">
                  <c:v>12.5</c:v>
                </c:pt>
                <c:pt idx="11">
                  <c:v>13.3</c:v>
                </c:pt>
                <c:pt idx="12">
                  <c:v>15.2</c:v>
                </c:pt>
                <c:pt idx="13">
                  <c:v>23.6</c:v>
                </c:pt>
                <c:pt idx="14">
                  <c:v>29.2</c:v>
                </c:pt>
                <c:pt idx="15">
                  <c:v>40.299999999999997</c:v>
                </c:pt>
                <c:pt idx="16">
                  <c:v>56.2</c:v>
                </c:pt>
                <c:pt idx="17">
                  <c:v>76.5</c:v>
                </c:pt>
                <c:pt idx="18">
                  <c:v>119</c:v>
                </c:pt>
                <c:pt idx="19">
                  <c:v>132.19999999999999</c:v>
                </c:pt>
                <c:pt idx="20">
                  <c:v>206.6</c:v>
                </c:pt>
              </c:numCache>
            </c:numRef>
          </c:val>
          <c:smooth val="0"/>
        </c:ser>
        <c:dLbls>
          <c:showLegendKey val="0"/>
          <c:showVal val="0"/>
          <c:showCatName val="0"/>
          <c:showSerName val="0"/>
          <c:showPercent val="0"/>
          <c:showBubbleSize val="0"/>
        </c:dLbls>
        <c:marker val="1"/>
        <c:smooth val="0"/>
        <c:axId val="978093120"/>
        <c:axId val="978044400"/>
      </c:lineChart>
      <c:catAx>
        <c:axId val="9780931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ZW"/>
                  <a:t>Age Group</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8044400"/>
        <c:crosses val="autoZero"/>
        <c:auto val="1"/>
        <c:lblAlgn val="ctr"/>
        <c:lblOffset val="100"/>
        <c:noMultiLvlLbl val="0"/>
      </c:catAx>
      <c:valAx>
        <c:axId val="9780444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ASDRs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8093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'mmr time series analys'!$A$18:$A$25</c:f>
              <c:strCache>
                <c:ptCount val="8"/>
                <c:pt idx="0">
                  <c:v>15 - 19</c:v>
                </c:pt>
                <c:pt idx="1">
                  <c:v>20 - 24</c:v>
                </c:pt>
                <c:pt idx="2">
                  <c:v>25 - 29</c:v>
                </c:pt>
                <c:pt idx="3">
                  <c:v>30 - 34</c:v>
                </c:pt>
                <c:pt idx="4">
                  <c:v>35 - 39</c:v>
                </c:pt>
                <c:pt idx="5">
                  <c:v>40 - 44</c:v>
                </c:pt>
                <c:pt idx="6">
                  <c:v>45 - 49*</c:v>
                </c:pt>
                <c:pt idx="7">
                  <c:v>Zimbabwe</c:v>
                </c:pt>
              </c:strCache>
            </c:strRef>
          </c:cat>
          <c:val>
            <c:numRef>
              <c:f>'mmr time series analys'!$L$18:$L$25</c:f>
              <c:numCache>
                <c:formatCode>#,##0</c:formatCode>
                <c:ptCount val="8"/>
                <c:pt idx="0">
                  <c:v>524.7583349773131</c:v>
                </c:pt>
                <c:pt idx="1">
                  <c:v>401.45925962117883</c:v>
                </c:pt>
                <c:pt idx="2">
                  <c:v>489.49549807060174</c:v>
                </c:pt>
                <c:pt idx="3">
                  <c:v>601.08305749068597</c:v>
                </c:pt>
                <c:pt idx="4">
                  <c:v>830.38869257950535</c:v>
                </c:pt>
                <c:pt idx="5">
                  <c:v>1108.3402604599612</c:v>
                </c:pt>
                <c:pt idx="6">
                  <c:v>2366.8639053254437</c:v>
                </c:pt>
                <c:pt idx="7">
                  <c:v>544.18913378755633</c:v>
                </c:pt>
              </c:numCache>
            </c:numRef>
          </c:val>
        </c:ser>
        <c:dLbls>
          <c:dLblPos val="outEnd"/>
          <c:showLegendKey val="0"/>
          <c:showVal val="1"/>
          <c:showCatName val="0"/>
          <c:showSerName val="0"/>
          <c:showPercent val="0"/>
          <c:showBubbleSize val="0"/>
        </c:dLbls>
        <c:gapWidth val="219"/>
        <c:overlap val="-27"/>
        <c:axId val="978078000"/>
        <c:axId val="978078560"/>
      </c:barChart>
      <c:catAx>
        <c:axId val="978078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8078560"/>
        <c:crosses val="autoZero"/>
        <c:auto val="1"/>
        <c:lblAlgn val="ctr"/>
        <c:lblOffset val="100"/>
        <c:noMultiLvlLbl val="0"/>
      </c:catAx>
      <c:valAx>
        <c:axId val="978078560"/>
        <c:scaling>
          <c:orientation val="minMax"/>
        </c:scaling>
        <c:delete val="0"/>
        <c:axPos val="l"/>
        <c:majorGridlines>
          <c:spPr>
            <a:ln w="9525" cap="flat" cmpd="sng" algn="ctr">
              <a:no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80780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Sheet7!$D$53</c:f>
              <c:strCache>
                <c:ptCount val="1"/>
                <c:pt idx="0">
                  <c:v>2012 Census</c:v>
                </c:pt>
              </c:strCache>
            </c:strRef>
          </c:tx>
          <c:spPr>
            <a:solidFill>
              <a:schemeClr val="accent4">
                <a:lumMod val="60000"/>
                <a:lumOff val="40000"/>
              </a:schemeClr>
            </a:solidFill>
          </c:spPr>
          <c:invertIfNegative val="0"/>
          <c:dLbls>
            <c:spPr>
              <a:noFill/>
              <a:ln>
                <a:noFill/>
              </a:ln>
              <a:effectLst/>
            </c:spPr>
            <c:txPr>
              <a:bodyPr wrap="square" lIns="38100" tIns="19050" rIns="38100" bIns="19050" anchor="ctr">
                <a:spAutoFit/>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Sheet7!$C$54:$C$64</c:f>
              <c:strCache>
                <c:ptCount val="11"/>
                <c:pt idx="0">
                  <c:v>Bulawayo</c:v>
                </c:pt>
                <c:pt idx="1">
                  <c:v>Manicaland</c:v>
                </c:pt>
                <c:pt idx="2">
                  <c:v>Mashonaland Central</c:v>
                </c:pt>
                <c:pt idx="3">
                  <c:v>Mashonaland East</c:v>
                </c:pt>
                <c:pt idx="4">
                  <c:v>Mashonaland West</c:v>
                </c:pt>
                <c:pt idx="5">
                  <c:v>Matabeleland North</c:v>
                </c:pt>
                <c:pt idx="6">
                  <c:v>Matabeleland South</c:v>
                </c:pt>
                <c:pt idx="7">
                  <c:v>Midlands</c:v>
                </c:pt>
                <c:pt idx="8">
                  <c:v>Masvingo</c:v>
                </c:pt>
                <c:pt idx="9">
                  <c:v>Harare</c:v>
                </c:pt>
                <c:pt idx="10">
                  <c:v>Total</c:v>
                </c:pt>
              </c:strCache>
            </c:strRef>
          </c:cat>
          <c:val>
            <c:numRef>
              <c:f>Sheet7!$D$54:$D$64</c:f>
              <c:numCache>
                <c:formatCode>0</c:formatCode>
                <c:ptCount val="11"/>
                <c:pt idx="0">
                  <c:v>569.88094566382665</c:v>
                </c:pt>
                <c:pt idx="1">
                  <c:v>515.80956310930003</c:v>
                </c:pt>
                <c:pt idx="2">
                  <c:v>626.53436988543365</c:v>
                </c:pt>
                <c:pt idx="3">
                  <c:v>602.11890699331229</c:v>
                </c:pt>
                <c:pt idx="4">
                  <c:v>546.13676993497438</c:v>
                </c:pt>
                <c:pt idx="5">
                  <c:v>591.22446985243823</c:v>
                </c:pt>
                <c:pt idx="6">
                  <c:v>693.7179981280625</c:v>
                </c:pt>
                <c:pt idx="7">
                  <c:v>522.34702694210978</c:v>
                </c:pt>
                <c:pt idx="8">
                  <c:v>579.13787430075683</c:v>
                </c:pt>
                <c:pt idx="9">
                  <c:v>379.33141062980377</c:v>
                </c:pt>
                <c:pt idx="10">
                  <c:v>544</c:v>
                </c:pt>
              </c:numCache>
            </c:numRef>
          </c:val>
        </c:ser>
        <c:ser>
          <c:idx val="1"/>
          <c:order val="1"/>
          <c:tx>
            <c:strRef>
              <c:f>Sheet7!$E$53</c:f>
              <c:strCache>
                <c:ptCount val="1"/>
                <c:pt idx="0">
                  <c:v>2002 Census</c:v>
                </c:pt>
              </c:strCache>
            </c:strRef>
          </c:tx>
          <c:spPr>
            <a:solidFill>
              <a:schemeClr val="accent5">
                <a:lumMod val="60000"/>
                <a:lumOff val="40000"/>
              </a:schemeClr>
            </a:solidFill>
          </c:spPr>
          <c:invertIfNegative val="0"/>
          <c:dLbls>
            <c:spPr>
              <a:noFill/>
              <a:ln>
                <a:noFill/>
              </a:ln>
              <a:effectLst/>
            </c:spPr>
            <c:txPr>
              <a:bodyPr wrap="square" lIns="38100" tIns="19050" rIns="38100" bIns="19050" anchor="ctr">
                <a:spAutoFit/>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Sheet7!$C$54:$C$64</c:f>
              <c:strCache>
                <c:ptCount val="11"/>
                <c:pt idx="0">
                  <c:v>Bulawayo</c:v>
                </c:pt>
                <c:pt idx="1">
                  <c:v>Manicaland</c:v>
                </c:pt>
                <c:pt idx="2">
                  <c:v>Mashonaland Central</c:v>
                </c:pt>
                <c:pt idx="3">
                  <c:v>Mashonaland East</c:v>
                </c:pt>
                <c:pt idx="4">
                  <c:v>Mashonaland West</c:v>
                </c:pt>
                <c:pt idx="5">
                  <c:v>Matabeleland North</c:v>
                </c:pt>
                <c:pt idx="6">
                  <c:v>Matabeleland South</c:v>
                </c:pt>
                <c:pt idx="7">
                  <c:v>Midlands</c:v>
                </c:pt>
                <c:pt idx="8">
                  <c:v>Masvingo</c:v>
                </c:pt>
                <c:pt idx="9">
                  <c:v>Harare</c:v>
                </c:pt>
                <c:pt idx="10">
                  <c:v>Total</c:v>
                </c:pt>
              </c:strCache>
            </c:strRef>
          </c:cat>
          <c:val>
            <c:numRef>
              <c:f>Sheet7!$E$54:$E$64</c:f>
              <c:numCache>
                <c:formatCode>General</c:formatCode>
                <c:ptCount val="11"/>
                <c:pt idx="0">
                  <c:v>1014</c:v>
                </c:pt>
                <c:pt idx="1">
                  <c:v>1060</c:v>
                </c:pt>
                <c:pt idx="2">
                  <c:v>1119</c:v>
                </c:pt>
                <c:pt idx="3">
                  <c:v>1502</c:v>
                </c:pt>
                <c:pt idx="4">
                  <c:v>1173</c:v>
                </c:pt>
                <c:pt idx="5">
                  <c:v>1034</c:v>
                </c:pt>
                <c:pt idx="6">
                  <c:v>1208</c:v>
                </c:pt>
                <c:pt idx="7">
                  <c:v>1010</c:v>
                </c:pt>
                <c:pt idx="8">
                  <c:v>1246</c:v>
                </c:pt>
                <c:pt idx="9">
                  <c:v>649</c:v>
                </c:pt>
                <c:pt idx="10">
                  <c:v>1069</c:v>
                </c:pt>
              </c:numCache>
            </c:numRef>
          </c:val>
        </c:ser>
        <c:dLbls>
          <c:showLegendKey val="0"/>
          <c:showVal val="1"/>
          <c:showCatName val="0"/>
          <c:showSerName val="0"/>
          <c:showPercent val="0"/>
          <c:showBubbleSize val="0"/>
        </c:dLbls>
        <c:gapWidth val="75"/>
        <c:axId val="978080240"/>
        <c:axId val="978092560"/>
      </c:barChart>
      <c:catAx>
        <c:axId val="978080240"/>
        <c:scaling>
          <c:orientation val="minMax"/>
        </c:scaling>
        <c:delete val="0"/>
        <c:axPos val="l"/>
        <c:numFmt formatCode="General" sourceLinked="0"/>
        <c:majorTickMark val="none"/>
        <c:minorTickMark val="none"/>
        <c:tickLblPos val="nextTo"/>
        <c:crossAx val="978092560"/>
        <c:crosses val="autoZero"/>
        <c:auto val="1"/>
        <c:lblAlgn val="ctr"/>
        <c:lblOffset val="100"/>
        <c:noMultiLvlLbl val="0"/>
      </c:catAx>
      <c:valAx>
        <c:axId val="978092560"/>
        <c:scaling>
          <c:orientation val="minMax"/>
        </c:scaling>
        <c:delete val="0"/>
        <c:axPos val="b"/>
        <c:numFmt formatCode="0" sourceLinked="1"/>
        <c:majorTickMark val="none"/>
        <c:minorTickMark val="none"/>
        <c:tickLblPos val="nextTo"/>
        <c:crossAx val="978080240"/>
        <c:crosses val="autoZero"/>
        <c:crossBetween val="between"/>
      </c:valAx>
    </c:plotArea>
    <c:legend>
      <c:legendPos val="b"/>
      <c:overlay val="0"/>
      <c:txPr>
        <a:bodyPr/>
        <a:lstStyle/>
        <a:p>
          <a:pPr>
            <a:defRPr sz="900"/>
          </a:pPr>
          <a:endParaRPr lang="en-US"/>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217984800092762E-2"/>
          <c:y val="4.772393538913363E-2"/>
          <c:w val="0.71697077021998756"/>
          <c:h val="0.86711355463826933"/>
        </c:manualLayout>
      </c:layout>
      <c:lineChart>
        <c:grouping val="standard"/>
        <c:varyColors val="0"/>
        <c:ser>
          <c:idx val="0"/>
          <c:order val="0"/>
          <c:tx>
            <c:strRef>
              <c:f>Sheet5!$N$121</c:f>
              <c:strCache>
                <c:ptCount val="1"/>
                <c:pt idx="0">
                  <c:v>Infant Mortality Rate</c:v>
                </c:pt>
              </c:strCache>
            </c:strRef>
          </c:tx>
          <c:spPr>
            <a:ln w="28575" cap="rnd">
              <a:solidFill>
                <a:schemeClr val="accent1"/>
              </a:solidFill>
              <a:round/>
            </a:ln>
            <a:effectLst/>
          </c:spPr>
          <c:marker>
            <c:symbol val="none"/>
          </c:marker>
          <c:cat>
            <c:strRef>
              <c:f>Sheet5!$M$122:$M$126</c:f>
              <c:strCache>
                <c:ptCount val="5"/>
                <c:pt idx="0">
                  <c:v>1997</c:v>
                </c:pt>
                <c:pt idx="1">
                  <c:v>2000</c:v>
                </c:pt>
                <c:pt idx="2">
                  <c:v>2003</c:v>
                </c:pt>
                <c:pt idx="3">
                  <c:v>2005</c:v>
                </c:pt>
                <c:pt idx="4">
                  <c:v>2008</c:v>
                </c:pt>
              </c:strCache>
            </c:strRef>
          </c:cat>
          <c:val>
            <c:numRef>
              <c:f>Sheet5!$N$122:$N$126</c:f>
              <c:numCache>
                <c:formatCode>General</c:formatCode>
                <c:ptCount val="5"/>
                <c:pt idx="0">
                  <c:v>48</c:v>
                </c:pt>
                <c:pt idx="1">
                  <c:v>49</c:v>
                </c:pt>
                <c:pt idx="2">
                  <c:v>50</c:v>
                </c:pt>
                <c:pt idx="3">
                  <c:v>49</c:v>
                </c:pt>
                <c:pt idx="4">
                  <c:v>50</c:v>
                </c:pt>
              </c:numCache>
            </c:numRef>
          </c:val>
          <c:smooth val="0"/>
        </c:ser>
        <c:ser>
          <c:idx val="1"/>
          <c:order val="1"/>
          <c:tx>
            <c:strRef>
              <c:f>Sheet5!$O$121</c:f>
              <c:strCache>
                <c:ptCount val="1"/>
                <c:pt idx="0">
                  <c:v>Child Mortality Rate</c:v>
                </c:pt>
              </c:strCache>
            </c:strRef>
          </c:tx>
          <c:spPr>
            <a:ln w="28575" cap="rnd">
              <a:solidFill>
                <a:schemeClr val="accent2"/>
              </a:solidFill>
              <a:round/>
            </a:ln>
            <a:effectLst/>
          </c:spPr>
          <c:marker>
            <c:symbol val="none"/>
          </c:marker>
          <c:cat>
            <c:strRef>
              <c:f>Sheet5!$M$122:$M$126</c:f>
              <c:strCache>
                <c:ptCount val="5"/>
                <c:pt idx="0">
                  <c:v>1997</c:v>
                </c:pt>
                <c:pt idx="1">
                  <c:v>2000</c:v>
                </c:pt>
                <c:pt idx="2">
                  <c:v>2003</c:v>
                </c:pt>
                <c:pt idx="3">
                  <c:v>2005</c:v>
                </c:pt>
                <c:pt idx="4">
                  <c:v>2008</c:v>
                </c:pt>
              </c:strCache>
            </c:strRef>
          </c:cat>
          <c:val>
            <c:numRef>
              <c:f>Sheet5!$O$122:$O$126</c:f>
              <c:numCache>
                <c:formatCode>General</c:formatCode>
                <c:ptCount val="5"/>
                <c:pt idx="0">
                  <c:v>24</c:v>
                </c:pt>
                <c:pt idx="1">
                  <c:v>24</c:v>
                </c:pt>
                <c:pt idx="2">
                  <c:v>25</c:v>
                </c:pt>
                <c:pt idx="3">
                  <c:v>24</c:v>
                </c:pt>
                <c:pt idx="4">
                  <c:v>26</c:v>
                </c:pt>
              </c:numCache>
            </c:numRef>
          </c:val>
          <c:smooth val="0"/>
        </c:ser>
        <c:ser>
          <c:idx val="2"/>
          <c:order val="2"/>
          <c:tx>
            <c:strRef>
              <c:f>Sheet5!$P$121</c:f>
              <c:strCache>
                <c:ptCount val="1"/>
                <c:pt idx="0">
                  <c:v>Under 5 Mortality Rate</c:v>
                </c:pt>
              </c:strCache>
            </c:strRef>
          </c:tx>
          <c:spPr>
            <a:ln w="28575" cap="rnd">
              <a:solidFill>
                <a:schemeClr val="accent3"/>
              </a:solidFill>
              <a:round/>
            </a:ln>
            <a:effectLst/>
          </c:spPr>
          <c:marker>
            <c:symbol val="none"/>
          </c:marker>
          <c:cat>
            <c:strRef>
              <c:f>Sheet5!$M$122:$M$126</c:f>
              <c:strCache>
                <c:ptCount val="5"/>
                <c:pt idx="0">
                  <c:v>1997</c:v>
                </c:pt>
                <c:pt idx="1">
                  <c:v>2000</c:v>
                </c:pt>
                <c:pt idx="2">
                  <c:v>2003</c:v>
                </c:pt>
                <c:pt idx="3">
                  <c:v>2005</c:v>
                </c:pt>
                <c:pt idx="4">
                  <c:v>2008</c:v>
                </c:pt>
              </c:strCache>
            </c:strRef>
          </c:cat>
          <c:val>
            <c:numRef>
              <c:f>Sheet5!$P$122:$P$126</c:f>
              <c:numCache>
                <c:formatCode>General</c:formatCode>
                <c:ptCount val="5"/>
                <c:pt idx="0">
                  <c:v>71</c:v>
                </c:pt>
                <c:pt idx="1">
                  <c:v>72</c:v>
                </c:pt>
                <c:pt idx="2">
                  <c:v>74</c:v>
                </c:pt>
                <c:pt idx="3">
                  <c:v>72</c:v>
                </c:pt>
                <c:pt idx="4">
                  <c:v>75</c:v>
                </c:pt>
              </c:numCache>
            </c:numRef>
          </c:val>
          <c:smooth val="0"/>
        </c:ser>
        <c:dLbls>
          <c:showLegendKey val="0"/>
          <c:showVal val="0"/>
          <c:showCatName val="0"/>
          <c:showSerName val="0"/>
          <c:showPercent val="0"/>
          <c:showBubbleSize val="0"/>
        </c:dLbls>
        <c:smooth val="0"/>
        <c:axId val="978086400"/>
        <c:axId val="978103200"/>
      </c:lineChart>
      <c:catAx>
        <c:axId val="978086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8103200"/>
        <c:crosses val="autoZero"/>
        <c:auto val="1"/>
        <c:lblAlgn val="ctr"/>
        <c:lblOffset val="100"/>
        <c:noMultiLvlLbl val="0"/>
      </c:catAx>
      <c:valAx>
        <c:axId val="978103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8086400"/>
        <c:crosses val="autoZero"/>
        <c:crossBetween val="between"/>
      </c:valAx>
      <c:spPr>
        <a:noFill/>
        <a:ln>
          <a:noFill/>
        </a:ln>
        <a:effectLst/>
      </c:spPr>
    </c:plotArea>
    <c:legend>
      <c:legendPos val="r"/>
      <c:layout>
        <c:manualLayout>
          <c:xMode val="edge"/>
          <c:yMode val="edge"/>
          <c:x val="0.80722891566265043"/>
          <c:y val="0.34719032918242049"/>
          <c:w val="0.17269076305220882"/>
          <c:h val="0.5069208805932995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Blo001</b:Tag>
    <b:SourceType>JournalArticle</b:SourceType>
    <b:Guid>{30302E33-E04F-400F-BA56-DB7D398139A4}</b:Guid>
    <b:Title>Demographic change and economic growth in Asia</b:Title>
    <b:JournalName>Population and Development Review</b:JournalName>
    <b:Year>2000</b:Year>
    <b:Pages>257-290</b:Pages>
    <b:Volume>26, supp</b:Volume>
    <b:Author>
      <b:Author>
        <b:NameList>
          <b:Person>
            <b:Last>Bloom</b:Last>
            <b:First>D</b:First>
          </b:Person>
          <b:Person>
            <b:Last>Canning</b:Last>
            <b:First>D</b:First>
          </b:Person>
          <b:Person>
            <b:Last>Malaney</b:Last>
            <b:First>P</b:First>
          </b:Person>
        </b:NameList>
      </b:Author>
    </b:Author>
    <b:RefOrder>1</b:RefOrder>
  </b:Source>
</b:Sources>
</file>

<file path=customXml/itemProps1.xml><?xml version="1.0" encoding="utf-8"?>
<ds:datastoreItem xmlns:ds="http://schemas.openxmlformats.org/officeDocument/2006/customXml" ds:itemID="{86A931F9-67E3-4704-948F-519EA07A7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3631</Words>
  <Characters>20699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Chikova</dc:creator>
  <cp:keywords/>
  <dc:description/>
  <cp:lastModifiedBy>Victoria Walshe</cp:lastModifiedBy>
  <cp:revision>2</cp:revision>
  <cp:lastPrinted>2015-12-03T16:30:00Z</cp:lastPrinted>
  <dcterms:created xsi:type="dcterms:W3CDTF">2015-12-09T13:18:00Z</dcterms:created>
  <dcterms:modified xsi:type="dcterms:W3CDTF">2015-12-09T13:18:00Z</dcterms:modified>
</cp:coreProperties>
</file>